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1B44">
      <w:pPr>
        <w:pStyle w:val="16"/>
        <w:keepNext w:val="0"/>
        <w:keepLines w:val="0"/>
        <w:pageBreakBefore w:val="0"/>
        <w:widowControl/>
        <w:kinsoku w:val="0"/>
        <w:wordWrap w:val="0"/>
        <w:overflowPunct w:val="0"/>
        <w:topLinePunct w:val="0"/>
        <w:autoSpaceDE/>
        <w:autoSpaceDN/>
        <w:bidi w:val="0"/>
        <w:spacing w:before="312" w:beforeLines="100" w:beforeAutospacing="0" w:line="240" w:lineRule="auto"/>
        <w:jc w:val="right"/>
        <w:rPr>
          <w:rFonts w:hint="eastAsia" w:ascii="仿宋" w:hAnsi="仿宋" w:eastAsia="仿宋" w:cs="仿宋"/>
          <w:color w:val="auto"/>
          <w:spacing w:val="-20"/>
          <w:sz w:val="32"/>
          <w:szCs w:val="32"/>
          <w:highlight w:val="none"/>
          <w:u w:val="none" w:color="auto"/>
          <w:lang w:eastAsia="zh-CN"/>
        </w:rPr>
      </w:pPr>
    </w:p>
    <w:p w14:paraId="05A8EADD">
      <w:pPr>
        <w:pStyle w:val="16"/>
        <w:keepNext w:val="0"/>
        <w:keepLines w:val="0"/>
        <w:pageBreakBefore w:val="0"/>
        <w:widowControl/>
        <w:kinsoku w:val="0"/>
        <w:wordWrap w:val="0"/>
        <w:overflowPunct w:val="0"/>
        <w:topLinePunct w:val="0"/>
        <w:autoSpaceDE/>
        <w:autoSpaceDN/>
        <w:bidi w:val="0"/>
        <w:spacing w:before="312" w:beforeLines="100" w:beforeAutospacing="0" w:line="240" w:lineRule="auto"/>
        <w:jc w:val="right"/>
        <w:rPr>
          <w:rFonts w:hint="eastAsia" w:ascii="仿宋" w:hAnsi="仿宋" w:eastAsia="仿宋" w:cs="仿宋"/>
          <w:color w:val="auto"/>
          <w:spacing w:val="-20"/>
          <w:sz w:val="32"/>
          <w:szCs w:val="32"/>
          <w:highlight w:val="none"/>
          <w:u w:val="none" w:color="auto"/>
          <w:lang w:eastAsia="zh-CN"/>
        </w:rPr>
      </w:pPr>
    </w:p>
    <w:p w14:paraId="403DD3D0">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240" w:lineRule="auto"/>
        <w:ind w:left="0" w:right="0"/>
        <w:jc w:val="center"/>
        <w:rPr>
          <w:rFonts w:hint="eastAsia" w:ascii="仿宋" w:hAnsi="仿宋" w:eastAsia="仿宋" w:cs="仿宋"/>
          <w:color w:val="auto"/>
          <w:spacing w:val="-20"/>
          <w:kern w:val="2"/>
          <w:sz w:val="30"/>
          <w:szCs w:val="30"/>
          <w:highlight w:val="none"/>
          <w:u w:val="none" w:color="auto"/>
          <w:lang w:val="en-US" w:eastAsia="zh-CN" w:bidi="ar"/>
        </w:rPr>
      </w:pPr>
      <w:r>
        <w:rPr>
          <w:rFonts w:hint="eastAsia" w:ascii="仿宋" w:hAnsi="仿宋" w:eastAsia="仿宋" w:cs="仿宋"/>
          <w:color w:val="auto"/>
          <w:spacing w:val="-20"/>
          <w:sz w:val="32"/>
          <w:szCs w:val="32"/>
          <w:highlight w:val="none"/>
          <w:u w:val="none" w:color="auto"/>
          <w:lang w:val="en-US" w:eastAsia="zh-CN"/>
        </w:rPr>
        <w:t xml:space="preserve">                                                </w:t>
      </w:r>
      <w:r>
        <w:rPr>
          <w:rFonts w:hint="eastAsia" w:ascii="仿宋" w:hAnsi="仿宋" w:eastAsia="仿宋" w:cs="仿宋"/>
          <w:color w:val="auto"/>
          <w:spacing w:val="-20"/>
          <w:kern w:val="0"/>
          <w:sz w:val="30"/>
          <w:szCs w:val="30"/>
          <w:highlight w:val="none"/>
          <w:u w:val="none" w:color="auto"/>
          <w:lang w:val="en-US" w:eastAsia="zh-CN" w:bidi="ar"/>
        </w:rPr>
        <w:t>岳环评〔2024〕36号</w:t>
      </w:r>
    </w:p>
    <w:p w14:paraId="29CA41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仿宋" w:hAnsi="仿宋" w:eastAsia="仿宋" w:cs="仿宋"/>
          <w:b/>
          <w:bCs/>
          <w:color w:val="auto"/>
          <w:spacing w:val="-20"/>
          <w:w w:val="90"/>
          <w:kern w:val="0"/>
          <w:sz w:val="44"/>
          <w:szCs w:val="44"/>
          <w:highlight w:val="none"/>
          <w:u w:val="none" w:color="auto"/>
          <w:lang w:val="en-US" w:eastAsia="zh-CN" w:bidi="ar"/>
        </w:rPr>
      </w:pPr>
      <w:r>
        <w:rPr>
          <w:rFonts w:hint="eastAsia" w:ascii="仿宋" w:hAnsi="仿宋" w:eastAsia="仿宋" w:cs="仿宋"/>
          <w:b/>
          <w:bCs/>
          <w:color w:val="auto"/>
          <w:spacing w:val="-20"/>
          <w:w w:val="90"/>
          <w:kern w:val="0"/>
          <w:sz w:val="44"/>
          <w:szCs w:val="44"/>
          <w:highlight w:val="none"/>
          <w:u w:val="none" w:color="auto"/>
          <w:lang w:val="en-US" w:eastAsia="zh-CN" w:bidi="ar"/>
        </w:rPr>
        <w:t>关于</w:t>
      </w:r>
      <w:r>
        <w:rPr>
          <w:rFonts w:hint="eastAsia" w:ascii="仿宋" w:hAnsi="仿宋" w:eastAsia="仿宋" w:cs="仿宋"/>
          <w:b/>
          <w:bCs/>
          <w:color w:val="auto"/>
          <w:w w:val="90"/>
          <w:kern w:val="2"/>
          <w:sz w:val="44"/>
          <w:szCs w:val="44"/>
          <w:highlight w:val="none"/>
          <w:u w:val="none" w:color="auto"/>
          <w:lang w:val="en-US" w:eastAsia="zh-CN" w:bidi="ar-SA"/>
        </w:rPr>
        <w:t>湖南新铭腾新型材料有限公司年加工10000吨PVC碳晶大板、5000吨PVC装饰线条项目</w:t>
      </w:r>
      <w:r>
        <w:rPr>
          <w:rFonts w:hint="eastAsia" w:ascii="仿宋" w:hAnsi="仿宋" w:eastAsia="仿宋" w:cs="仿宋"/>
          <w:b/>
          <w:bCs/>
          <w:color w:val="auto"/>
          <w:spacing w:val="-20"/>
          <w:w w:val="90"/>
          <w:kern w:val="0"/>
          <w:sz w:val="44"/>
          <w:szCs w:val="44"/>
          <w:highlight w:val="none"/>
          <w:u w:val="none" w:color="auto"/>
          <w:lang w:val="en-US" w:eastAsia="zh-CN" w:bidi="ar"/>
        </w:rPr>
        <w:t>环境影响报告书的批复</w:t>
      </w:r>
    </w:p>
    <w:p w14:paraId="0FBD85F8">
      <w:pPr>
        <w:keepNext w:val="0"/>
        <w:keepLines w:val="0"/>
        <w:pageBreakBefore w:val="0"/>
        <w:widowControl/>
        <w:suppressLineNumbers w:val="0"/>
        <w:tabs>
          <w:tab w:val="right" w:leader="dot" w:pos="9736"/>
        </w:tabs>
        <w:kinsoku w:val="0"/>
        <w:wordWrap w:val="0"/>
        <w:overflowPunct w:val="0"/>
        <w:topLinePunct w:val="0"/>
        <w:autoSpaceDE/>
        <w:autoSpaceDN/>
        <w:bidi w:val="0"/>
        <w:adjustRightInd/>
        <w:snapToGrid/>
        <w:spacing w:before="120" w:beforeAutospacing="0" w:after="0" w:afterAutospacing="0" w:line="520" w:lineRule="exact"/>
        <w:ind w:left="0" w:right="0"/>
        <w:jc w:val="left"/>
        <w:textAlignment w:val="auto"/>
        <w:rPr>
          <w:rFonts w:hint="eastAsia" w:ascii="仿宋" w:hAnsi="仿宋" w:eastAsia="仿宋" w:cs="仿宋"/>
          <w:b w:val="0"/>
          <w:bCs w:val="0"/>
          <w:caps/>
          <w:color w:val="auto"/>
          <w:kern w:val="2"/>
          <w:sz w:val="32"/>
          <w:szCs w:val="32"/>
          <w:highlight w:val="none"/>
          <w:u w:val="none" w:color="auto"/>
          <w:lang w:val="en-US" w:eastAsia="zh-CN" w:bidi="ar"/>
        </w:rPr>
      </w:pPr>
      <w:r>
        <w:rPr>
          <w:rFonts w:hint="eastAsia" w:ascii="仿宋" w:hAnsi="仿宋" w:eastAsia="仿宋" w:cs="仿宋"/>
          <w:b w:val="0"/>
          <w:bCs w:val="0"/>
          <w:caps/>
          <w:color w:val="auto"/>
          <w:w w:val="90"/>
          <w:kern w:val="2"/>
          <w:sz w:val="32"/>
          <w:szCs w:val="32"/>
          <w:highlight w:val="none"/>
          <w:u w:val="none" w:color="auto"/>
          <w:lang w:val="en-US" w:eastAsia="zh-CN" w:bidi="ar-SA"/>
        </w:rPr>
        <w:t>湖南新铭腾新型材料有限公司</w:t>
      </w:r>
      <w:r>
        <w:rPr>
          <w:rFonts w:hint="eastAsia" w:ascii="仿宋" w:hAnsi="仿宋" w:eastAsia="仿宋" w:cs="仿宋"/>
          <w:b w:val="0"/>
          <w:bCs w:val="0"/>
          <w:caps/>
          <w:color w:val="auto"/>
          <w:kern w:val="2"/>
          <w:sz w:val="32"/>
          <w:szCs w:val="32"/>
          <w:highlight w:val="none"/>
          <w:u w:val="none" w:color="auto"/>
          <w:lang w:val="en-US" w:eastAsia="zh-CN" w:bidi="ar"/>
        </w:rPr>
        <w:t>：</w:t>
      </w:r>
    </w:p>
    <w:p w14:paraId="19B92EDB">
      <w:pPr>
        <w:keepNext w:val="0"/>
        <w:keepLines w:val="0"/>
        <w:pageBreakBefore w:val="0"/>
        <w:widowControl/>
        <w:suppressLineNumbers w:val="0"/>
        <w:kinsoku/>
        <w:wordWrap w:val="0"/>
        <w:overflowPunct/>
        <w:topLinePunct/>
        <w:autoSpaceDE/>
        <w:autoSpaceDN/>
        <w:bidi w:val="0"/>
        <w:spacing w:before="0" w:beforeAutospacing="0" w:after="0" w:afterAutospacing="0" w:line="520" w:lineRule="exact"/>
        <w:ind w:left="0" w:right="0" w:firstLine="640" w:firstLineChars="200"/>
        <w:jc w:val="left"/>
        <w:rPr>
          <w:rFonts w:hint="eastAsia" w:ascii="仿宋" w:hAnsi="仿宋" w:eastAsia="仿宋" w:cs="仿宋"/>
          <w:b w:val="0"/>
          <w:bCs w:val="0"/>
          <w:color w:val="auto"/>
          <w:kern w:val="0"/>
          <w:sz w:val="32"/>
          <w:szCs w:val="32"/>
          <w:highlight w:val="none"/>
          <w:u w:val="none" w:color="auto"/>
          <w:lang w:val="en-US" w:eastAsia="zh-CN" w:bidi="ar"/>
        </w:rPr>
      </w:pPr>
      <w:r>
        <w:rPr>
          <w:rFonts w:hint="eastAsia" w:ascii="仿宋" w:hAnsi="仿宋" w:eastAsia="仿宋" w:cs="仿宋"/>
          <w:b w:val="0"/>
          <w:bCs w:val="0"/>
          <w:color w:val="auto"/>
          <w:kern w:val="0"/>
          <w:sz w:val="32"/>
          <w:szCs w:val="32"/>
          <w:highlight w:val="none"/>
          <w:u w:val="none" w:color="auto"/>
          <w:lang w:val="en-US" w:eastAsia="zh-CN" w:bidi="ar"/>
        </w:rPr>
        <w:t>你公司《</w:t>
      </w:r>
      <w:r>
        <w:rPr>
          <w:rFonts w:hint="eastAsia" w:ascii="仿宋" w:hAnsi="仿宋" w:eastAsia="仿宋" w:cs="仿宋"/>
          <w:b w:val="0"/>
          <w:bCs w:val="0"/>
          <w:color w:val="auto"/>
          <w:w w:val="90"/>
          <w:kern w:val="2"/>
          <w:sz w:val="32"/>
          <w:szCs w:val="32"/>
          <w:highlight w:val="none"/>
          <w:u w:val="none" w:color="auto"/>
          <w:lang w:val="en-US" w:eastAsia="zh-CN" w:bidi="ar-SA"/>
        </w:rPr>
        <w:t>湖南新铭腾新型材料有限公司年加工10000吨PVC碳晶大板、5000吨PVC装饰线条项目</w:t>
      </w:r>
      <w:r>
        <w:rPr>
          <w:rFonts w:hint="eastAsia" w:ascii="仿宋" w:hAnsi="仿宋" w:eastAsia="仿宋" w:cs="仿宋"/>
          <w:b w:val="0"/>
          <w:bCs w:val="0"/>
          <w:color w:val="auto"/>
          <w:kern w:val="0"/>
          <w:sz w:val="32"/>
          <w:szCs w:val="32"/>
          <w:highlight w:val="none"/>
          <w:u w:val="none" w:color="auto"/>
          <w:lang w:val="en-US" w:eastAsia="zh-CN" w:bidi="ar"/>
        </w:rPr>
        <w:t>环境影响报告书报批申请书》、岳阳市生态环境事务中心《</w:t>
      </w:r>
      <w:r>
        <w:rPr>
          <w:rFonts w:hint="eastAsia" w:ascii="仿宋" w:hAnsi="仿宋" w:eastAsia="仿宋" w:cs="仿宋"/>
          <w:b w:val="0"/>
          <w:bCs w:val="0"/>
          <w:color w:val="auto"/>
          <w:w w:val="90"/>
          <w:kern w:val="2"/>
          <w:sz w:val="32"/>
          <w:szCs w:val="32"/>
          <w:highlight w:val="none"/>
          <w:u w:val="none" w:color="auto"/>
          <w:lang w:val="en-US" w:eastAsia="zh-CN" w:bidi="ar-SA"/>
        </w:rPr>
        <w:t>湖南新铭腾新型材料有限公司年加工10000吨PVC碳晶大板、5000吨PVC装饰线条项目</w:t>
      </w:r>
      <w:r>
        <w:rPr>
          <w:rFonts w:hint="eastAsia" w:ascii="仿宋" w:hAnsi="仿宋" w:eastAsia="仿宋" w:cs="仿宋"/>
          <w:b w:val="0"/>
          <w:bCs w:val="0"/>
          <w:color w:val="auto"/>
          <w:kern w:val="0"/>
          <w:sz w:val="32"/>
          <w:szCs w:val="32"/>
          <w:highlight w:val="none"/>
          <w:u w:val="none" w:color="auto"/>
          <w:lang w:val="en-US" w:eastAsia="zh-CN" w:bidi="ar"/>
        </w:rPr>
        <w:t>环境影响报告书技术评估报告》（岳环事评估〔2024〕38号）、岳阳市生态环境局汨罗分局预审意见及有关附件收悉。经研究，批复如下：</w:t>
      </w:r>
    </w:p>
    <w:p w14:paraId="30F8C97A">
      <w:pPr>
        <w:keepNext w:val="0"/>
        <w:keepLines w:val="0"/>
        <w:pageBreakBefore w:val="0"/>
        <w:widowControl w:val="0"/>
        <w:autoSpaceDE/>
        <w:autoSpaceDN/>
        <w:bidi w:val="0"/>
        <w:spacing w:line="520" w:lineRule="exact"/>
        <w:ind w:firstLine="576" w:firstLineChars="200"/>
        <w:jc w:val="both"/>
        <w:rPr>
          <w:rFonts w:hint="eastAsia" w:ascii="仿宋" w:hAnsi="仿宋" w:eastAsia="仿宋" w:cs="仿宋"/>
          <w:color w:val="auto"/>
          <w:kern w:val="2"/>
          <w:sz w:val="32"/>
          <w:szCs w:val="32"/>
          <w:highlight w:val="none"/>
          <w:u w:val="none" w:color="auto"/>
          <w:lang w:val="en-US" w:eastAsia="zh-CN" w:bidi="ar-SA"/>
        </w:rPr>
        <w:sectPr>
          <w:pgSz w:w="11906" w:h="16838"/>
          <w:pgMar w:top="1304" w:right="1474" w:bottom="1247" w:left="1531" w:header="851" w:footer="992" w:gutter="0"/>
          <w:pgNumType w:start="2"/>
          <w:cols w:space="425" w:num="1"/>
          <w:docGrid w:type="lines" w:linePitch="312" w:charSpace="0"/>
        </w:sectPr>
      </w:pPr>
      <w:r>
        <w:rPr>
          <w:rFonts w:hint="eastAsia" w:ascii="仿宋" w:hAnsi="仿宋" w:eastAsia="仿宋" w:cs="仿宋"/>
          <w:b w:val="0"/>
          <w:bCs w:val="0"/>
          <w:color w:val="auto"/>
          <w:w w:val="90"/>
          <w:kern w:val="2"/>
          <w:sz w:val="32"/>
          <w:szCs w:val="32"/>
          <w:highlight w:val="none"/>
          <w:u w:val="none" w:color="auto"/>
          <w:lang w:val="en-US" w:eastAsia="zh-CN" w:bidi="ar-SA"/>
        </w:rPr>
        <w:t>一、</w:t>
      </w:r>
      <w:r>
        <w:rPr>
          <w:rFonts w:hint="eastAsia" w:ascii="仿宋" w:hAnsi="仿宋" w:eastAsia="仿宋" w:cs="仿宋"/>
          <w:b w:val="0"/>
          <w:bCs w:val="0"/>
          <w:color w:val="auto"/>
          <w:w w:val="90"/>
          <w:kern w:val="2"/>
          <w:sz w:val="32"/>
          <w:szCs w:val="32"/>
          <w:highlight w:val="none"/>
          <w:u w:val="none" w:color="auto"/>
          <w:lang w:eastAsia="zh-CN" w:bidi="ar-SA"/>
        </w:rPr>
        <w:t>湖南新铭腾新型材料有限公司</w:t>
      </w:r>
      <w:r>
        <w:rPr>
          <w:rFonts w:hint="eastAsia" w:ascii="仿宋" w:hAnsi="仿宋" w:eastAsia="仿宋" w:cs="仿宋"/>
          <w:color w:val="auto"/>
          <w:kern w:val="2"/>
          <w:sz w:val="32"/>
          <w:szCs w:val="32"/>
          <w:highlight w:val="none"/>
          <w:u w:val="none" w:color="auto"/>
          <w:lang w:val="en-US" w:eastAsia="zh-CN" w:bidi="ar-SA"/>
        </w:rPr>
        <w:t>租赁位于汨罗高新技术产业开发区新市片区西片区S308南侧的湖南现代家俱装饰有限公司现有闲置厂房内建设“湖南新铭腾新型材料有限公司年加工10000吨PVC碳晶大板、5000吨PVC装饰线条项目”。本项目占地面积为5000m</w:t>
      </w:r>
      <w:r>
        <w:rPr>
          <w:rFonts w:hint="eastAsia" w:ascii="仿宋" w:hAnsi="仿宋" w:eastAsia="仿宋" w:cs="仿宋"/>
          <w:color w:val="auto"/>
          <w:kern w:val="2"/>
          <w:sz w:val="32"/>
          <w:szCs w:val="32"/>
          <w:highlight w:val="none"/>
          <w:u w:val="none" w:color="auto"/>
          <w:vertAlign w:val="superscript"/>
          <w:lang w:val="en-US" w:eastAsia="zh-CN" w:bidi="ar-SA"/>
        </w:rPr>
        <w:t>2</w:t>
      </w:r>
      <w:r>
        <w:rPr>
          <w:rFonts w:hint="eastAsia" w:ascii="仿宋" w:hAnsi="仿宋" w:eastAsia="仿宋" w:cs="仿宋"/>
          <w:color w:val="auto"/>
          <w:kern w:val="2"/>
          <w:sz w:val="32"/>
          <w:szCs w:val="32"/>
          <w:highlight w:val="none"/>
          <w:u w:val="none" w:color="auto"/>
          <w:lang w:val="en-US" w:eastAsia="zh-CN" w:bidi="ar-SA"/>
        </w:rPr>
        <w:t>，建筑面积为4000m</w:t>
      </w:r>
      <w:r>
        <w:rPr>
          <w:rFonts w:hint="eastAsia" w:ascii="仿宋" w:hAnsi="仿宋" w:eastAsia="仿宋" w:cs="仿宋"/>
          <w:color w:val="auto"/>
          <w:kern w:val="2"/>
          <w:sz w:val="32"/>
          <w:szCs w:val="32"/>
          <w:highlight w:val="none"/>
          <w:u w:val="none" w:color="auto"/>
          <w:vertAlign w:val="superscript"/>
          <w:lang w:val="en-US" w:eastAsia="zh-CN" w:bidi="ar-SA"/>
        </w:rPr>
        <w:t>2</w:t>
      </w:r>
      <w:r>
        <w:rPr>
          <w:rFonts w:hint="eastAsia" w:ascii="仿宋" w:hAnsi="仿宋" w:eastAsia="仿宋" w:cs="仿宋"/>
          <w:color w:val="auto"/>
          <w:kern w:val="2"/>
          <w:sz w:val="32"/>
          <w:szCs w:val="32"/>
          <w:highlight w:val="none"/>
          <w:u w:val="none" w:color="auto"/>
          <w:lang w:val="en-US" w:eastAsia="zh-CN" w:bidi="ar-SA"/>
        </w:rPr>
        <w:t>。总投资1500万元，其中环保投资17万元，占总投资的1.14%。</w:t>
      </w:r>
      <w:r>
        <w:rPr>
          <w:rFonts w:hint="eastAsia" w:ascii="仿宋" w:hAnsi="仿宋" w:eastAsia="仿宋" w:cs="仿宋"/>
          <w:color w:val="auto"/>
          <w:kern w:val="0"/>
          <w:sz w:val="32"/>
          <w:szCs w:val="32"/>
          <w:highlight w:val="none"/>
          <w:u w:val="none" w:color="auto"/>
          <w:lang w:val="en-US" w:eastAsia="zh-CN" w:bidi="ar-SA"/>
        </w:rPr>
        <w:t>主要建设内容：</w:t>
      </w:r>
      <w:r>
        <w:rPr>
          <w:rFonts w:hint="eastAsia" w:ascii="仿宋" w:hAnsi="仿宋" w:eastAsia="仿宋" w:cs="仿宋"/>
          <w:color w:val="auto"/>
          <w:sz w:val="32"/>
          <w:szCs w:val="32"/>
          <w:highlight w:val="none"/>
          <w:u w:val="none" w:color="auto"/>
          <w:lang w:val="en-US" w:eastAsia="zh-CN"/>
        </w:rPr>
        <w:t>包括生产区、原料区、成品区、胶粘剂储存间及环保处理设施等，仅公用工程中员工食宿、生活污水处理设施及供水管网、供电线路均依托湖南现代家俱装饰有限公司已建设的设施。</w:t>
      </w:r>
      <w:r>
        <w:rPr>
          <w:rFonts w:hint="eastAsia" w:ascii="仿宋" w:hAnsi="仿宋" w:eastAsia="仿宋" w:cs="仿宋"/>
          <w:color w:val="auto"/>
          <w:kern w:val="2"/>
          <w:sz w:val="32"/>
          <w:szCs w:val="32"/>
          <w:highlight w:val="none"/>
          <w:u w:val="none" w:color="auto"/>
          <w:lang w:val="en-US" w:eastAsia="zh-CN" w:bidi="ar-SA"/>
        </w:rPr>
        <w:t>项目以PVC碳晶板半成品、</w:t>
      </w:r>
      <w:r>
        <w:rPr>
          <w:rFonts w:hint="eastAsia" w:ascii="仿宋" w:hAnsi="仿宋" w:eastAsia="仿宋" w:cs="仿宋"/>
          <w:color w:val="auto"/>
          <w:sz w:val="32"/>
          <w:szCs w:val="32"/>
          <w:highlight w:val="none"/>
          <w:u w:val="none" w:color="auto"/>
          <w:lang w:val="en-US" w:eastAsia="zh-CN"/>
        </w:rPr>
        <w:t>溶剂型聚氨酯包覆胶、水性聚氨酯热熔胶；</w:t>
      </w:r>
      <w:r>
        <w:rPr>
          <w:rFonts w:hint="eastAsia" w:ascii="仿宋" w:hAnsi="仿宋" w:eastAsia="仿宋" w:cs="仿宋"/>
          <w:color w:val="auto"/>
          <w:kern w:val="2"/>
          <w:sz w:val="32"/>
          <w:szCs w:val="32"/>
          <w:highlight w:val="none"/>
          <w:u w:val="none" w:color="auto"/>
          <w:lang w:val="en-US" w:eastAsia="zh-CN" w:bidi="ar-SA"/>
        </w:rPr>
        <w:t>PVC线条半成品、</w:t>
      </w:r>
      <w:r>
        <w:rPr>
          <w:rFonts w:hint="eastAsia" w:ascii="仿宋" w:hAnsi="仿宋" w:eastAsia="仿宋" w:cs="仿宋"/>
          <w:color w:val="auto"/>
          <w:sz w:val="32"/>
          <w:szCs w:val="32"/>
          <w:highlight w:val="none"/>
          <w:u w:val="none" w:color="auto"/>
          <w:lang w:val="en-US" w:eastAsia="zh-CN"/>
        </w:rPr>
        <w:t>PVC膜、水性聚氨酯墙板专用胶</w:t>
      </w:r>
      <w:r>
        <w:rPr>
          <w:rFonts w:hint="eastAsia" w:ascii="仿宋" w:hAnsi="仿宋" w:eastAsia="仿宋" w:cs="仿宋"/>
          <w:b w:val="0"/>
          <w:bCs w:val="0"/>
          <w:color w:val="auto"/>
          <w:sz w:val="32"/>
          <w:szCs w:val="32"/>
          <w:highlight w:val="none"/>
          <w:u w:val="none" w:color="auto"/>
          <w:lang w:val="en-US" w:eastAsia="zh-CN"/>
        </w:rPr>
        <w:t>等为原辅材料</w:t>
      </w:r>
      <w:r>
        <w:rPr>
          <w:rFonts w:hint="eastAsia" w:ascii="仿宋" w:hAnsi="仿宋" w:eastAsia="仿宋" w:cs="仿宋"/>
          <w:color w:val="auto"/>
          <w:kern w:val="2"/>
          <w:sz w:val="32"/>
          <w:szCs w:val="32"/>
          <w:highlight w:val="none"/>
          <w:u w:val="none" w:color="auto"/>
          <w:lang w:val="en-US" w:eastAsia="zh-CN" w:bidi="ar-SA"/>
        </w:rPr>
        <w:t>，经覆膜、</w:t>
      </w:r>
    </w:p>
    <w:p w14:paraId="6C42A742">
      <w:pPr>
        <w:keepNext w:val="0"/>
        <w:keepLines w:val="0"/>
        <w:pageBreakBefore w:val="0"/>
        <w:widowControl w:val="0"/>
        <w:autoSpaceDE/>
        <w:autoSpaceDN/>
        <w:bidi w:val="0"/>
        <w:spacing w:line="520" w:lineRule="exact"/>
        <w:jc w:val="both"/>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color w:val="auto"/>
          <w:kern w:val="2"/>
          <w:sz w:val="32"/>
          <w:szCs w:val="32"/>
          <w:highlight w:val="none"/>
          <w:u w:val="none" w:color="auto"/>
          <w:lang w:val="en-US" w:eastAsia="zh-CN" w:bidi="ar-SA"/>
        </w:rPr>
        <w:t>检验等工艺过程，得到PVC碳晶大板10000t/a及PVC装饰线条5000t/a</w:t>
      </w:r>
      <w:r>
        <w:rPr>
          <w:rFonts w:hint="eastAsia" w:ascii="仿宋" w:hAnsi="仿宋" w:eastAsia="仿宋" w:cs="仿宋"/>
          <w:color w:val="auto"/>
          <w:kern w:val="0"/>
          <w:sz w:val="32"/>
          <w:szCs w:val="32"/>
          <w:highlight w:val="none"/>
          <w:u w:val="none" w:color="auto"/>
          <w:lang w:val="en-US" w:eastAsia="zh-CN" w:bidi="ar-SA"/>
        </w:rPr>
        <w:t>。</w:t>
      </w:r>
      <w:r>
        <w:rPr>
          <w:rFonts w:hint="eastAsia" w:ascii="仿宋" w:hAnsi="仿宋" w:eastAsia="仿宋" w:cs="仿宋"/>
          <w:b w:val="0"/>
          <w:bCs w:val="0"/>
          <w:color w:val="auto"/>
          <w:kern w:val="2"/>
          <w:sz w:val="32"/>
          <w:szCs w:val="32"/>
          <w:highlight w:val="none"/>
          <w:u w:val="none" w:color="auto"/>
          <w:lang w:val="en-US" w:eastAsia="zh-CN" w:bidi="ar"/>
        </w:rPr>
        <w:t>根据</w:t>
      </w:r>
      <w:r>
        <w:rPr>
          <w:rFonts w:hint="eastAsia" w:ascii="仿宋" w:hAnsi="仿宋" w:eastAsia="仿宋" w:cs="仿宋"/>
          <w:b w:val="0"/>
          <w:bCs w:val="0"/>
          <w:color w:val="auto"/>
          <w:sz w:val="32"/>
          <w:szCs w:val="32"/>
          <w:highlight w:val="none"/>
          <w:u w:val="none" w:color="auto"/>
          <w:lang w:val="en-US" w:eastAsia="zh-CN"/>
        </w:rPr>
        <w:t>湖南润为环保科技有限公司</w:t>
      </w:r>
      <w:r>
        <w:rPr>
          <w:rFonts w:hint="eastAsia" w:ascii="仿宋" w:hAnsi="仿宋" w:eastAsia="仿宋" w:cs="仿宋"/>
          <w:b w:val="0"/>
          <w:bCs w:val="0"/>
          <w:color w:val="auto"/>
          <w:kern w:val="2"/>
          <w:sz w:val="32"/>
          <w:szCs w:val="32"/>
          <w:highlight w:val="none"/>
          <w:u w:val="none" w:color="auto"/>
          <w:lang w:val="en-US" w:eastAsia="zh-CN" w:bidi="ar"/>
        </w:rPr>
        <w:t>编制的《</w:t>
      </w:r>
      <w:r>
        <w:rPr>
          <w:rFonts w:hint="eastAsia" w:ascii="仿宋" w:hAnsi="仿宋" w:eastAsia="仿宋" w:cs="仿宋"/>
          <w:b w:val="0"/>
          <w:bCs w:val="0"/>
          <w:color w:val="auto"/>
          <w:kern w:val="2"/>
          <w:sz w:val="32"/>
          <w:szCs w:val="32"/>
          <w:highlight w:val="none"/>
          <w:u w:val="none" w:color="auto"/>
          <w:lang w:eastAsia="zh-CN" w:bidi="ar-SA"/>
        </w:rPr>
        <w:t>湖南新铭腾新型材料有限公司年加工10000吨PVC碳晶大板、5000吨PVC装饰线条项目</w:t>
      </w:r>
      <w:r>
        <w:rPr>
          <w:rFonts w:hint="eastAsia" w:ascii="仿宋" w:hAnsi="仿宋" w:eastAsia="仿宋" w:cs="仿宋"/>
          <w:b w:val="0"/>
          <w:bCs w:val="0"/>
          <w:color w:val="auto"/>
          <w:sz w:val="32"/>
          <w:szCs w:val="32"/>
          <w:highlight w:val="none"/>
          <w:u w:val="none" w:color="auto"/>
        </w:rPr>
        <w:t>环境影响报告书</w:t>
      </w:r>
      <w:r>
        <w:rPr>
          <w:rFonts w:hint="eastAsia" w:ascii="仿宋" w:hAnsi="仿宋" w:eastAsia="仿宋" w:cs="仿宋"/>
          <w:b w:val="0"/>
          <w:bCs w:val="0"/>
          <w:color w:val="auto"/>
          <w:kern w:val="2"/>
          <w:sz w:val="32"/>
          <w:szCs w:val="32"/>
          <w:highlight w:val="none"/>
          <w:u w:val="none" w:color="auto"/>
          <w:lang w:val="en-US" w:eastAsia="zh-CN" w:bidi="ar"/>
        </w:rPr>
        <w:t>》（报批稿）基本内容、结论和专家评审意见及岳阳市生态环境局汩罗分局预审意见，从环境保护角度考虑，我局原则同意你公司环境影响报告书中所列建设项目的环境影响评价结论和环境保护对策措施。</w:t>
      </w:r>
    </w:p>
    <w:p w14:paraId="7BA8F730">
      <w:pPr>
        <w:keepNext w:val="0"/>
        <w:keepLines w:val="0"/>
        <w:pageBreakBefore w:val="0"/>
        <w:widowControl w:val="0"/>
        <w:numPr>
          <w:ilvl w:val="0"/>
          <w:numId w:val="2"/>
        </w:numPr>
        <w:suppressLineNumbers w:val="0"/>
        <w:kinsoku/>
        <w:wordWrap w:val="0"/>
        <w:overflowPunct/>
        <w:topLinePunct/>
        <w:autoSpaceDE/>
        <w:autoSpaceDN/>
        <w:bidi w:val="0"/>
        <w:adjustRightInd w:val="0"/>
        <w:snapToGrid w:val="0"/>
        <w:spacing w:before="0" w:beforeAutospacing="0" w:after="0" w:afterAutospacing="0" w:line="520" w:lineRule="exact"/>
        <w:ind w:left="0" w:right="0" w:firstLine="640" w:firstLineChars="200"/>
        <w:jc w:val="both"/>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认真落实专家及环境影响报告书中提出的各项污染防治措施，并在运营中重点落实以下要求：</w:t>
      </w:r>
    </w:p>
    <w:p w14:paraId="62BD9121">
      <w:pPr>
        <w:keepNext w:val="0"/>
        <w:keepLines w:val="0"/>
        <w:pageBreakBefore w:val="0"/>
        <w:widowControl/>
        <w:numPr>
          <w:ilvl w:val="3"/>
          <w:numId w:val="0"/>
        </w:numPr>
        <w:tabs>
          <w:tab w:val="left" w:pos="1260"/>
          <w:tab w:val="left" w:pos="1680"/>
        </w:tabs>
        <w:autoSpaceDE/>
        <w:autoSpaceDN/>
        <w:bidi w:val="0"/>
        <w:spacing w:before="0" w:beforeLines="0" w:after="0" w:afterLines="0" w:line="520" w:lineRule="exact"/>
        <w:jc w:val="both"/>
        <w:outlineLvl w:val="5"/>
        <w:rPr>
          <w:rFonts w:hint="eastAsia" w:ascii="仿宋" w:hAnsi="仿宋" w:eastAsia="仿宋" w:cs="仿宋"/>
          <w:color w:val="auto"/>
          <w:kern w:val="0"/>
          <w:sz w:val="32"/>
          <w:szCs w:val="32"/>
          <w:highlight w:val="none"/>
          <w:u w:val="none" w:color="auto"/>
          <w:lang w:val="en-US" w:eastAsia="zh-CN" w:bidi="ar-SA"/>
        </w:rPr>
      </w:pPr>
      <w:r>
        <w:rPr>
          <w:rFonts w:hint="eastAsia" w:ascii="仿宋" w:hAnsi="仿宋" w:eastAsia="仿宋" w:cs="仿宋"/>
          <w:color w:val="auto"/>
          <w:kern w:val="0"/>
          <w:sz w:val="32"/>
          <w:szCs w:val="32"/>
          <w:highlight w:val="none"/>
          <w:u w:val="none" w:color="auto"/>
          <w:lang w:val="en-US" w:eastAsia="zh-CN" w:bidi="ar-SA"/>
        </w:rPr>
        <w:t xml:space="preserve">    1、切实做好施工期环境保护工作，落实施工期间各项污染防治措施，减小施工期间施工噪声、废气、废水及固体废物等对周边环境产生的不利影响。</w:t>
      </w:r>
    </w:p>
    <w:p w14:paraId="129023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 w:hAnsi="仿宋" w:eastAsia="仿宋" w:cs="仿宋"/>
          <w:color w:val="auto"/>
          <w:kern w:val="2"/>
          <w:sz w:val="32"/>
          <w:szCs w:val="32"/>
          <w:highlight w:val="none"/>
          <w:u w:val="none" w:color="auto"/>
          <w:lang w:val="en-US" w:eastAsia="zh-CN" w:bidi="ar-SA"/>
        </w:rPr>
      </w:pPr>
      <w:r>
        <w:rPr>
          <w:rFonts w:hint="eastAsia" w:ascii="仿宋" w:hAnsi="仿宋" w:eastAsia="仿宋" w:cs="仿宋"/>
          <w:b w:val="0"/>
          <w:bCs w:val="0"/>
          <w:color w:val="auto"/>
          <w:kern w:val="2"/>
          <w:sz w:val="32"/>
          <w:szCs w:val="32"/>
          <w:highlight w:val="none"/>
          <w:u w:val="none" w:color="auto"/>
          <w:lang w:val="en-US" w:eastAsia="zh-CN" w:bidi="ar"/>
        </w:rPr>
        <w:t>2、加强大气污染防治。本项目覆膜产生的</w:t>
      </w:r>
      <w:r>
        <w:rPr>
          <w:rFonts w:hint="eastAsia" w:ascii="仿宋" w:hAnsi="仿宋" w:eastAsia="仿宋" w:cs="仿宋"/>
          <w:b w:val="0"/>
          <w:bCs w:val="0"/>
          <w:color w:val="auto"/>
          <w:kern w:val="0"/>
          <w:sz w:val="32"/>
          <w:szCs w:val="32"/>
          <w:highlight w:val="none"/>
          <w:u w:val="none" w:color="auto"/>
          <w:lang w:val="en-US" w:eastAsia="zh-CN" w:bidi="ar"/>
        </w:rPr>
        <w:t>覆膜废气（</w:t>
      </w:r>
      <w:r>
        <w:rPr>
          <w:rFonts w:hint="eastAsia" w:ascii="仿宋" w:hAnsi="仿宋" w:eastAsia="仿宋" w:cs="仿宋"/>
          <w:b w:val="0"/>
          <w:bCs w:val="0"/>
          <w:color w:val="auto"/>
          <w:kern w:val="2"/>
          <w:sz w:val="32"/>
          <w:szCs w:val="32"/>
          <w:highlight w:val="none"/>
          <w:u w:val="none" w:color="auto"/>
          <w:lang w:val="en-US" w:eastAsia="zh-CN" w:bidi="ar"/>
        </w:rPr>
        <w:t>非甲烷总烃、</w:t>
      </w:r>
      <w:r>
        <w:rPr>
          <w:rFonts w:hint="eastAsia" w:ascii="仿宋" w:hAnsi="仿宋" w:eastAsia="仿宋" w:cs="仿宋"/>
          <w:color w:val="auto"/>
          <w:kern w:val="0"/>
          <w:sz w:val="32"/>
          <w:szCs w:val="32"/>
          <w:highlight w:val="none"/>
          <w:u w:val="none" w:color="auto"/>
          <w:lang w:val="en-US" w:eastAsia="zh-CN" w:bidi="ar"/>
        </w:rPr>
        <w:t>二甲苯</w:t>
      </w:r>
      <w:r>
        <w:rPr>
          <w:rFonts w:hint="eastAsia" w:ascii="仿宋" w:hAnsi="仿宋" w:eastAsia="仿宋" w:cs="仿宋"/>
          <w:b w:val="0"/>
          <w:bCs w:val="0"/>
          <w:color w:val="auto"/>
          <w:kern w:val="2"/>
          <w:sz w:val="32"/>
          <w:szCs w:val="32"/>
          <w:highlight w:val="none"/>
          <w:u w:val="none" w:color="auto"/>
          <w:lang w:val="en-US" w:eastAsia="zh-CN" w:bidi="ar"/>
        </w:rPr>
        <w:t>）经收集处理后，经15m高1#排气筒达标排放。</w:t>
      </w:r>
      <w:r>
        <w:rPr>
          <w:rFonts w:hint="eastAsia" w:ascii="仿宋" w:hAnsi="仿宋" w:eastAsia="仿宋" w:cs="仿宋"/>
          <w:color w:val="auto"/>
          <w:kern w:val="2"/>
          <w:sz w:val="32"/>
          <w:szCs w:val="32"/>
          <w:highlight w:val="none"/>
          <w:u w:val="none" w:color="auto"/>
          <w:lang w:val="en-US" w:eastAsia="zh-CN" w:bidi="ar-SA"/>
        </w:rPr>
        <w:t>非甲烷总烃、二甲苯执行《大气污染物综合排放标准》（GB16297-1996）表2中的二级标准；臭气浓度执行《恶臭污染物排放标准》（GB14554-93）表2标准。</w:t>
      </w:r>
    </w:p>
    <w:p w14:paraId="4C6DDD8B">
      <w:pPr>
        <w:keepNext w:val="0"/>
        <w:keepLines w:val="0"/>
        <w:pageBreakBefore w:val="0"/>
        <w:widowControl w:val="0"/>
        <w:suppressLineNumbers w:val="0"/>
        <w:kinsoku/>
        <w:wordWrap w:val="0"/>
        <w:overflowPunct/>
        <w:topLinePunct/>
        <w:autoSpaceDE/>
        <w:autoSpaceDN/>
        <w:bidi w:val="0"/>
        <w:spacing w:before="0" w:beforeAutospacing="0" w:after="0" w:afterAutospacing="0" w:line="520" w:lineRule="exact"/>
        <w:ind w:left="0" w:right="0" w:firstLine="640" w:firstLineChars="200"/>
        <w:jc w:val="both"/>
        <w:rPr>
          <w:rFonts w:hint="eastAsia" w:ascii="仿宋" w:hAnsi="仿宋" w:eastAsia="仿宋" w:cs="仿宋"/>
          <w:b w:val="0"/>
          <w:bCs w:val="0"/>
          <w:color w:val="auto"/>
          <w:sz w:val="32"/>
          <w:szCs w:val="32"/>
          <w:highlight w:val="none"/>
          <w:u w:val="none" w:color="auto"/>
          <w:lang w:eastAsia="zh-CN"/>
        </w:rPr>
      </w:pPr>
      <w:r>
        <w:rPr>
          <w:rFonts w:hint="eastAsia" w:ascii="仿宋" w:hAnsi="仿宋" w:eastAsia="仿宋" w:cs="仿宋"/>
          <w:color w:val="auto"/>
          <w:sz w:val="32"/>
          <w:szCs w:val="32"/>
          <w:highlight w:val="none"/>
          <w:u w:val="none" w:color="auto"/>
          <w:lang w:val="en-US" w:eastAsia="zh-CN"/>
        </w:rPr>
        <w:t>加强车间通风及废气收集，</w:t>
      </w:r>
      <w:r>
        <w:rPr>
          <w:rFonts w:hint="eastAsia" w:ascii="仿宋" w:hAnsi="仿宋" w:eastAsia="仿宋" w:cs="仿宋"/>
          <w:b w:val="0"/>
          <w:bCs w:val="0"/>
          <w:color w:val="auto"/>
          <w:kern w:val="2"/>
          <w:sz w:val="32"/>
          <w:szCs w:val="32"/>
          <w:highlight w:val="none"/>
          <w:u w:val="none" w:color="auto"/>
          <w:lang w:val="en-US" w:eastAsia="zh-CN" w:bidi="ar"/>
        </w:rPr>
        <w:t>强化车间管理及日常监管；定期对设备、管道、阀门等进行维护和管理，杜绝生产过程中的跑、冒、滴、漏，最大限度减少生产过程中的废气无组织排放,确保</w:t>
      </w:r>
      <w:r>
        <w:rPr>
          <w:rFonts w:hint="eastAsia" w:ascii="仿宋" w:hAnsi="仿宋" w:eastAsia="仿宋" w:cs="仿宋"/>
          <w:b w:val="0"/>
          <w:bCs w:val="0"/>
          <w:color w:val="auto"/>
          <w:sz w:val="32"/>
          <w:szCs w:val="32"/>
          <w:highlight w:val="none"/>
          <w:u w:val="none" w:color="auto"/>
        </w:rPr>
        <w:t>厂区内挥发性有机物（以非甲烷总烃计）</w:t>
      </w:r>
      <w:r>
        <w:rPr>
          <w:rFonts w:hint="eastAsia" w:ascii="仿宋" w:hAnsi="仿宋" w:eastAsia="仿宋" w:cs="仿宋"/>
          <w:color w:val="auto"/>
          <w:sz w:val="32"/>
          <w:szCs w:val="32"/>
          <w:highlight w:val="none"/>
          <w:u w:val="none" w:color="auto"/>
          <w:lang w:val="en-US" w:eastAsia="zh-CN"/>
        </w:rPr>
        <w:t>满足《挥发性有机物无组织排放控制标准》（GB37822-2019）表 A.1 厂区内非甲烷总烃无组织排放限值</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color w:val="auto"/>
          <w:kern w:val="2"/>
          <w:sz w:val="32"/>
          <w:szCs w:val="32"/>
          <w:highlight w:val="none"/>
          <w:u w:val="none" w:color="auto"/>
          <w:lang w:bidi="ar-SA"/>
        </w:rPr>
        <w:t>非甲烷总烃</w:t>
      </w:r>
      <w:r>
        <w:rPr>
          <w:rFonts w:hint="eastAsia" w:ascii="仿宋" w:hAnsi="仿宋" w:eastAsia="仿宋" w:cs="仿宋"/>
          <w:color w:val="auto"/>
          <w:kern w:val="2"/>
          <w:sz w:val="32"/>
          <w:szCs w:val="32"/>
          <w:highlight w:val="none"/>
          <w:u w:val="none" w:color="auto"/>
          <w:lang w:eastAsia="zh-CN" w:bidi="ar-SA"/>
        </w:rPr>
        <w:t>、</w:t>
      </w:r>
      <w:r>
        <w:rPr>
          <w:rFonts w:hint="eastAsia" w:ascii="仿宋" w:hAnsi="仿宋" w:eastAsia="仿宋" w:cs="仿宋"/>
          <w:color w:val="auto"/>
          <w:kern w:val="2"/>
          <w:sz w:val="32"/>
          <w:szCs w:val="32"/>
          <w:highlight w:val="none"/>
          <w:u w:val="none" w:color="auto"/>
          <w:lang w:val="en-US" w:eastAsia="zh-CN" w:bidi="ar-SA"/>
        </w:rPr>
        <w:t>二甲苯</w:t>
      </w:r>
      <w:r>
        <w:rPr>
          <w:rFonts w:hint="eastAsia" w:ascii="仿宋" w:hAnsi="仿宋" w:eastAsia="仿宋" w:cs="仿宋"/>
          <w:color w:val="auto"/>
          <w:kern w:val="2"/>
          <w:sz w:val="32"/>
          <w:szCs w:val="32"/>
          <w:highlight w:val="none"/>
          <w:u w:val="none" w:color="auto"/>
          <w:lang w:bidi="ar-SA"/>
        </w:rPr>
        <w:t>执行《大气污染物综合排放标准》（GB16297-1996）无组织排放监控浓度限值</w:t>
      </w:r>
      <w:r>
        <w:rPr>
          <w:rFonts w:hint="eastAsia" w:ascii="仿宋" w:hAnsi="仿宋" w:eastAsia="仿宋" w:cs="仿宋"/>
          <w:color w:val="auto"/>
          <w:kern w:val="2"/>
          <w:sz w:val="32"/>
          <w:szCs w:val="32"/>
          <w:highlight w:val="none"/>
          <w:u w:val="none" w:color="auto"/>
          <w:lang w:val="en-US" w:eastAsia="zh-CN" w:bidi="ar-SA"/>
        </w:rPr>
        <w:t>；</w:t>
      </w:r>
      <w:r>
        <w:rPr>
          <w:rFonts w:hint="eastAsia" w:ascii="仿宋" w:hAnsi="仿宋" w:eastAsia="仿宋" w:cs="仿宋"/>
          <w:color w:val="auto"/>
          <w:kern w:val="2"/>
          <w:sz w:val="32"/>
          <w:szCs w:val="32"/>
          <w:highlight w:val="none"/>
          <w:u w:val="none" w:color="auto"/>
          <w:lang w:bidi="ar-SA"/>
        </w:rPr>
        <w:t>臭气浓度执行《恶臭污染物排放标准》（GB14554-93）表1恶臭污染物厂界标准值二级新扩改建和标准</w:t>
      </w:r>
      <w:r>
        <w:rPr>
          <w:rFonts w:hint="eastAsia" w:ascii="仿宋" w:hAnsi="仿宋" w:eastAsia="仿宋" w:cs="仿宋"/>
          <w:color w:val="auto"/>
          <w:kern w:val="2"/>
          <w:sz w:val="32"/>
          <w:szCs w:val="32"/>
          <w:highlight w:val="none"/>
          <w:u w:val="none" w:color="auto"/>
          <w:lang w:eastAsia="zh-CN" w:bidi="ar-SA"/>
        </w:rPr>
        <w:t>。</w:t>
      </w:r>
    </w:p>
    <w:p w14:paraId="68852687">
      <w:pPr>
        <w:keepNext w:val="0"/>
        <w:keepLines w:val="0"/>
        <w:pageBreakBefore w:val="0"/>
        <w:widowControl/>
        <w:suppressLineNumbers w:val="0"/>
        <w:kinsoku/>
        <w:wordWrap w:val="0"/>
        <w:overflowPunct/>
        <w:topLinePunct/>
        <w:autoSpaceDE/>
        <w:autoSpaceDN/>
        <w:bidi w:val="0"/>
        <w:spacing w:before="0" w:beforeAutospacing="0" w:after="0" w:afterAutospacing="0" w:line="520" w:lineRule="exact"/>
        <w:ind w:left="0" w:right="0" w:firstLine="640" w:firstLineChars="200"/>
        <w:jc w:val="left"/>
        <w:textAlignment w:val="center"/>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3、加强水污染防治。严格按照“雨污分流、清污分流、污污分流”的原则规范建设厂区雨水及污水收集设施。</w:t>
      </w:r>
      <w:r>
        <w:rPr>
          <w:rFonts w:hint="eastAsia" w:ascii="仿宋" w:hAnsi="仿宋" w:eastAsia="仿宋" w:cs="仿宋"/>
          <w:color w:val="auto"/>
          <w:sz w:val="32"/>
          <w:szCs w:val="32"/>
          <w:highlight w:val="none"/>
          <w:u w:val="none" w:color="auto"/>
        </w:rPr>
        <w:t>生活污水经</w:t>
      </w:r>
      <w:r>
        <w:rPr>
          <w:rFonts w:hint="eastAsia" w:ascii="仿宋" w:hAnsi="仿宋" w:eastAsia="仿宋" w:cs="仿宋"/>
          <w:color w:val="auto"/>
          <w:sz w:val="32"/>
          <w:szCs w:val="32"/>
          <w:highlight w:val="none"/>
          <w:u w:val="none" w:color="auto"/>
          <w:lang w:val="en-US" w:eastAsia="zh-CN"/>
        </w:rPr>
        <w:t>湖南现代家俱装饰有限公司</w:t>
      </w:r>
      <w:r>
        <w:rPr>
          <w:rFonts w:hint="eastAsia" w:ascii="仿宋" w:hAnsi="仿宋" w:eastAsia="仿宋" w:cs="仿宋"/>
          <w:color w:val="auto"/>
          <w:sz w:val="32"/>
          <w:szCs w:val="32"/>
          <w:highlight w:val="none"/>
          <w:u w:val="none" w:color="auto"/>
          <w:lang w:eastAsia="zh-CN"/>
        </w:rPr>
        <w:t>隔油</w:t>
      </w:r>
      <w:r>
        <w:rPr>
          <w:rFonts w:hint="eastAsia" w:ascii="仿宋" w:hAnsi="仿宋" w:eastAsia="仿宋" w:cs="仿宋"/>
          <w:color w:val="auto"/>
          <w:sz w:val="32"/>
          <w:szCs w:val="32"/>
          <w:highlight w:val="none"/>
          <w:u w:val="none" w:color="auto"/>
          <w:lang w:val="en-US" w:eastAsia="zh-CN"/>
        </w:rPr>
        <w:t>池、</w:t>
      </w:r>
      <w:r>
        <w:rPr>
          <w:rFonts w:hint="eastAsia" w:ascii="仿宋" w:hAnsi="仿宋" w:eastAsia="仿宋" w:cs="仿宋"/>
          <w:color w:val="auto"/>
          <w:sz w:val="32"/>
          <w:szCs w:val="32"/>
          <w:highlight w:val="none"/>
          <w:u w:val="none" w:color="auto"/>
          <w:lang w:eastAsia="zh-CN"/>
        </w:rPr>
        <w:t>化粪池</w:t>
      </w:r>
      <w:r>
        <w:rPr>
          <w:rFonts w:hint="eastAsia" w:ascii="仿宋" w:hAnsi="仿宋" w:eastAsia="仿宋" w:cs="仿宋"/>
          <w:color w:val="auto"/>
          <w:sz w:val="32"/>
          <w:szCs w:val="32"/>
          <w:highlight w:val="none"/>
          <w:u w:val="none" w:color="auto"/>
        </w:rPr>
        <w:t>处理后满足《污水综合排放标准》（GB8978-1996）中三级标准及汨罗市城市污水处理厂进水水质标准两者中的较严值后，排入汨罗市城市污水处理厂，处理达到《城镇污水处理厂污染物排放标准》（GB18918-2002）一级A标准后经李家河排入汨罗江</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lang w:val="en-US" w:eastAsia="zh-CN"/>
        </w:rPr>
        <w:t>项目无生产废水产生及排放</w:t>
      </w:r>
      <w:r>
        <w:rPr>
          <w:rFonts w:hint="eastAsia" w:ascii="仿宋" w:hAnsi="仿宋" w:eastAsia="仿宋" w:cs="仿宋"/>
          <w:color w:val="auto"/>
          <w:sz w:val="32"/>
          <w:szCs w:val="32"/>
          <w:highlight w:val="none"/>
          <w:u w:val="none" w:color="auto"/>
        </w:rPr>
        <w:t>。</w:t>
      </w:r>
    </w:p>
    <w:p w14:paraId="69A5C3F0">
      <w:pPr>
        <w:keepNext w:val="0"/>
        <w:keepLines w:val="0"/>
        <w:pageBreakBefore w:val="0"/>
        <w:widowControl w:val="0"/>
        <w:suppressLineNumbers w:val="0"/>
        <w:kinsoku/>
        <w:wordWrap w:val="0"/>
        <w:overflowPunct/>
        <w:topLinePunct/>
        <w:autoSpaceDE/>
        <w:autoSpaceDN/>
        <w:bidi w:val="0"/>
        <w:spacing w:before="0" w:beforeAutospacing="0" w:after="0" w:afterAutospacing="0" w:line="520" w:lineRule="exact"/>
        <w:ind w:right="0" w:firstLine="640" w:firstLineChars="200"/>
        <w:jc w:val="both"/>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按照“源头控制、分区防治、污染监控、应急响应”相结合的原则落实报告书提出的地下水污染防治措施。做好</w:t>
      </w:r>
      <w:r>
        <w:rPr>
          <w:rFonts w:hint="eastAsia" w:ascii="仿宋" w:hAnsi="仿宋" w:eastAsia="仿宋" w:cs="仿宋"/>
          <w:color w:val="auto"/>
          <w:sz w:val="32"/>
          <w:szCs w:val="32"/>
          <w:highlight w:val="none"/>
          <w:u w:val="none" w:color="auto"/>
          <w:lang w:eastAsia="zh-CN"/>
        </w:rPr>
        <w:t>危废暂存间、</w:t>
      </w:r>
      <w:r>
        <w:rPr>
          <w:rFonts w:hint="eastAsia" w:ascii="仿宋" w:hAnsi="仿宋" w:eastAsia="仿宋" w:cs="仿宋"/>
          <w:color w:val="auto"/>
          <w:sz w:val="32"/>
          <w:szCs w:val="32"/>
          <w:highlight w:val="none"/>
          <w:u w:val="none" w:color="auto"/>
          <w:lang w:val="en-US" w:eastAsia="zh-CN"/>
        </w:rPr>
        <w:t>胶粘剂暂存间</w:t>
      </w:r>
      <w:r>
        <w:rPr>
          <w:rFonts w:hint="eastAsia" w:ascii="仿宋" w:hAnsi="仿宋" w:eastAsia="仿宋" w:cs="仿宋"/>
          <w:b w:val="0"/>
          <w:bCs w:val="0"/>
          <w:color w:val="auto"/>
          <w:sz w:val="32"/>
          <w:szCs w:val="32"/>
          <w:highlight w:val="none"/>
          <w:u w:val="none" w:color="auto"/>
          <w:lang w:val="en-US" w:eastAsia="zh-CN" w:bidi="ar"/>
        </w:rPr>
        <w:t>等区域及</w:t>
      </w:r>
      <w:r>
        <w:rPr>
          <w:rFonts w:hint="eastAsia" w:ascii="仿宋" w:hAnsi="仿宋" w:eastAsia="仿宋" w:cs="仿宋"/>
          <w:color w:val="auto"/>
          <w:sz w:val="32"/>
          <w:szCs w:val="32"/>
          <w:highlight w:val="none"/>
          <w:u w:val="none" w:color="auto"/>
        </w:rPr>
        <w:t>一般防渗区</w:t>
      </w:r>
      <w:r>
        <w:rPr>
          <w:rFonts w:hint="eastAsia" w:ascii="仿宋" w:hAnsi="仿宋" w:eastAsia="仿宋" w:cs="仿宋"/>
          <w:b w:val="0"/>
          <w:bCs w:val="0"/>
          <w:color w:val="auto"/>
          <w:sz w:val="32"/>
          <w:szCs w:val="32"/>
          <w:highlight w:val="none"/>
          <w:u w:val="none" w:color="auto"/>
          <w:lang w:val="en-US" w:eastAsia="zh-CN" w:bidi="ar"/>
        </w:rPr>
        <w:t>的</w:t>
      </w:r>
      <w:r>
        <w:rPr>
          <w:rFonts w:hint="eastAsia" w:ascii="仿宋" w:hAnsi="仿宋" w:eastAsia="仿宋" w:cs="仿宋"/>
          <w:b w:val="0"/>
          <w:bCs w:val="0"/>
          <w:color w:val="auto"/>
          <w:kern w:val="2"/>
          <w:sz w:val="32"/>
          <w:szCs w:val="32"/>
          <w:highlight w:val="none"/>
          <w:u w:val="none" w:color="auto"/>
          <w:lang w:val="en-US" w:eastAsia="zh-CN" w:bidi="ar"/>
        </w:rPr>
        <w:t>防渗工作和</w:t>
      </w:r>
      <w:r>
        <w:rPr>
          <w:rFonts w:hint="eastAsia" w:ascii="仿宋" w:hAnsi="仿宋" w:eastAsia="仿宋" w:cs="仿宋"/>
          <w:color w:val="auto"/>
          <w:sz w:val="32"/>
          <w:szCs w:val="32"/>
          <w:highlight w:val="none"/>
          <w:u w:val="none" w:color="auto"/>
          <w:lang w:val="en-US" w:eastAsia="zh-CN"/>
        </w:rPr>
        <w:t>厂区道路、空闲场地、办公区域</w:t>
      </w:r>
      <w:r>
        <w:rPr>
          <w:rFonts w:hint="eastAsia" w:ascii="仿宋" w:hAnsi="仿宋" w:eastAsia="仿宋" w:cs="仿宋"/>
          <w:b w:val="0"/>
          <w:bCs w:val="0"/>
          <w:color w:val="auto"/>
          <w:kern w:val="2"/>
          <w:sz w:val="32"/>
          <w:szCs w:val="32"/>
          <w:highlight w:val="none"/>
          <w:u w:val="none" w:color="auto"/>
          <w:lang w:val="en-US" w:eastAsia="zh-CN" w:bidi="ar"/>
        </w:rPr>
        <w:t>的地面硬化，避免由于防渗层破损造成污染物下渗污染地下水。根据《环境影响评价技术导则 地下水环境》(HJ610-2016)要求，跟踪监测地下水水质情况，确保地下水环境安全。</w:t>
      </w:r>
    </w:p>
    <w:p w14:paraId="05795154">
      <w:pPr>
        <w:keepNext w:val="0"/>
        <w:keepLines w:val="0"/>
        <w:pageBreakBefore w:val="0"/>
        <w:widowControl w:val="0"/>
        <w:suppressLineNumbers w:val="0"/>
        <w:autoSpaceDE/>
        <w:autoSpaceDN/>
        <w:bidi w:val="0"/>
        <w:spacing w:before="0" w:beforeAutospacing="0" w:after="0" w:afterAutospacing="0" w:line="520" w:lineRule="exact"/>
        <w:ind w:left="0" w:right="0" w:firstLine="640" w:firstLineChars="200"/>
        <w:jc w:val="both"/>
        <w:rPr>
          <w:rFonts w:hint="eastAsia" w:ascii="仿宋" w:hAnsi="仿宋" w:eastAsia="仿宋" w:cs="仿宋"/>
          <w:color w:val="auto"/>
          <w:kern w:val="2"/>
          <w:sz w:val="32"/>
          <w:szCs w:val="32"/>
          <w:highlight w:val="none"/>
          <w:u w:val="none" w:color="auto"/>
          <w:lang w:val="en-US" w:eastAsia="zh-CN" w:bidi="ar-SA"/>
        </w:rPr>
      </w:pPr>
      <w:r>
        <w:rPr>
          <w:rFonts w:hint="eastAsia" w:ascii="仿宋" w:hAnsi="仿宋" w:eastAsia="仿宋" w:cs="仿宋"/>
          <w:b w:val="0"/>
          <w:bCs w:val="0"/>
          <w:color w:val="auto"/>
          <w:kern w:val="2"/>
          <w:sz w:val="32"/>
          <w:szCs w:val="32"/>
          <w:highlight w:val="none"/>
          <w:u w:val="none" w:color="auto"/>
          <w:lang w:val="en-US" w:eastAsia="zh-CN" w:bidi="ar"/>
        </w:rPr>
        <w:t>4、加强噪声污染防治。通过</w:t>
      </w:r>
      <w:r>
        <w:rPr>
          <w:rFonts w:hint="eastAsia" w:ascii="仿宋" w:hAnsi="仿宋" w:eastAsia="仿宋" w:cs="仿宋"/>
          <w:color w:val="auto"/>
          <w:kern w:val="0"/>
          <w:sz w:val="32"/>
          <w:szCs w:val="32"/>
          <w:highlight w:val="none"/>
          <w:u w:val="none" w:color="auto"/>
          <w:lang w:val="en-US" w:eastAsia="zh-CN" w:bidi="ar"/>
        </w:rPr>
        <w:t>选用高效低噪设备</w:t>
      </w:r>
      <w:r>
        <w:rPr>
          <w:rFonts w:hint="eastAsia" w:ascii="仿宋" w:hAnsi="仿宋" w:eastAsia="仿宋" w:cs="仿宋"/>
          <w:b w:val="0"/>
          <w:bCs w:val="0"/>
          <w:color w:val="auto"/>
          <w:kern w:val="2"/>
          <w:sz w:val="32"/>
          <w:szCs w:val="32"/>
          <w:highlight w:val="none"/>
          <w:u w:val="none" w:color="auto"/>
          <w:lang w:val="en-US" w:eastAsia="zh-CN" w:bidi="ar"/>
        </w:rPr>
        <w:t>，合理布局，采取</w:t>
      </w:r>
      <w:r>
        <w:rPr>
          <w:rFonts w:hint="eastAsia" w:ascii="仿宋" w:hAnsi="仿宋" w:eastAsia="仿宋" w:cs="仿宋"/>
          <w:color w:val="auto"/>
          <w:kern w:val="0"/>
          <w:sz w:val="32"/>
          <w:szCs w:val="32"/>
          <w:highlight w:val="none"/>
          <w:u w:val="none" w:color="auto"/>
          <w:lang w:val="en-US" w:eastAsia="zh-CN" w:bidi="ar"/>
        </w:rPr>
        <w:t>墙体隔声，设备安装减振、消声、隔声设施，</w:t>
      </w:r>
      <w:r>
        <w:rPr>
          <w:rFonts w:hint="eastAsia" w:ascii="仿宋" w:hAnsi="仿宋" w:eastAsia="仿宋" w:cs="仿宋"/>
          <w:b w:val="0"/>
          <w:bCs w:val="0"/>
          <w:color w:val="auto"/>
          <w:kern w:val="0"/>
          <w:sz w:val="32"/>
          <w:szCs w:val="32"/>
          <w:highlight w:val="none"/>
          <w:u w:val="none" w:color="auto"/>
          <w:lang w:val="en-US" w:eastAsia="zh-CN" w:bidi="ar"/>
        </w:rPr>
        <w:t>加强设备维护等降噪措施</w:t>
      </w:r>
      <w:r>
        <w:rPr>
          <w:rFonts w:hint="eastAsia" w:ascii="仿宋" w:hAnsi="仿宋" w:eastAsia="仿宋" w:cs="仿宋"/>
          <w:b w:val="0"/>
          <w:bCs w:val="0"/>
          <w:color w:val="auto"/>
          <w:kern w:val="2"/>
          <w:sz w:val="32"/>
          <w:szCs w:val="32"/>
          <w:highlight w:val="none"/>
          <w:u w:val="none" w:color="auto"/>
          <w:lang w:val="en-US" w:eastAsia="zh-CN" w:bidi="ar"/>
        </w:rPr>
        <w:t>，确保</w:t>
      </w:r>
      <w:r>
        <w:rPr>
          <w:rFonts w:hint="eastAsia" w:ascii="仿宋" w:hAnsi="仿宋" w:eastAsia="仿宋" w:cs="仿宋"/>
          <w:color w:val="auto"/>
          <w:kern w:val="2"/>
          <w:sz w:val="32"/>
          <w:szCs w:val="32"/>
          <w:highlight w:val="none"/>
          <w:u w:val="none" w:color="auto"/>
          <w:lang w:val="en-US" w:eastAsia="zh-CN" w:bidi="ar-SA"/>
        </w:rPr>
        <w:t>厂界噪声达到《工业企业厂界环境噪声排放标准》（GB12348－2008）3类标准。</w:t>
      </w:r>
    </w:p>
    <w:p w14:paraId="0CF48226">
      <w:pPr>
        <w:keepNext w:val="0"/>
        <w:keepLines w:val="0"/>
        <w:pageBreakBefore w:val="0"/>
        <w:widowControl w:val="0"/>
        <w:suppressLineNumbers w:val="0"/>
        <w:kinsoku/>
        <w:overflowPunct/>
        <w:autoSpaceDE/>
        <w:autoSpaceDN/>
        <w:bidi w:val="0"/>
        <w:spacing w:before="0" w:beforeAutospacing="0" w:after="0" w:afterAutospacing="0" w:line="520" w:lineRule="exact"/>
        <w:ind w:left="0" w:right="0" w:firstLine="640" w:firstLineChars="200"/>
        <w:jc w:val="both"/>
        <w:rPr>
          <w:rFonts w:hint="eastAsia" w:ascii="仿宋" w:hAnsi="仿宋" w:eastAsia="仿宋" w:cs="仿宋"/>
          <w:b w:val="0"/>
          <w:bCs w:val="0"/>
          <w:color w:val="auto"/>
          <w:kern w:val="0"/>
          <w:sz w:val="32"/>
          <w:szCs w:val="32"/>
          <w:highlight w:val="none"/>
          <w:u w:val="none" w:color="auto"/>
          <w:lang w:val="en-US" w:eastAsia="zh-CN" w:bidi="ar"/>
        </w:rPr>
      </w:pPr>
      <w:r>
        <w:rPr>
          <w:rFonts w:hint="eastAsia" w:ascii="仿宋" w:hAnsi="仿宋" w:eastAsia="仿宋" w:cs="仿宋"/>
          <w:b w:val="0"/>
          <w:bCs w:val="0"/>
          <w:color w:val="auto"/>
          <w:kern w:val="0"/>
          <w:sz w:val="32"/>
          <w:szCs w:val="32"/>
          <w:highlight w:val="none"/>
          <w:u w:val="none" w:color="auto"/>
          <w:lang w:val="en-US" w:eastAsia="zh-CN" w:bidi="ar"/>
        </w:rPr>
        <w:t>5、</w:t>
      </w:r>
      <w:r>
        <w:rPr>
          <w:rFonts w:hint="eastAsia" w:ascii="仿宋" w:hAnsi="仿宋" w:eastAsia="仿宋" w:cs="仿宋"/>
          <w:b w:val="0"/>
          <w:bCs w:val="0"/>
          <w:color w:val="auto"/>
          <w:kern w:val="2"/>
          <w:sz w:val="32"/>
          <w:szCs w:val="32"/>
          <w:highlight w:val="none"/>
          <w:u w:val="none" w:color="auto"/>
          <w:lang w:val="en-US" w:eastAsia="zh-CN" w:bidi="ar"/>
        </w:rPr>
        <w:t>加强</w:t>
      </w:r>
      <w:r>
        <w:rPr>
          <w:rFonts w:hint="eastAsia" w:ascii="仿宋" w:hAnsi="仿宋" w:eastAsia="仿宋" w:cs="仿宋"/>
          <w:b w:val="0"/>
          <w:bCs w:val="0"/>
          <w:color w:val="auto"/>
          <w:kern w:val="0"/>
          <w:sz w:val="32"/>
          <w:szCs w:val="32"/>
          <w:highlight w:val="none"/>
          <w:u w:val="none" w:color="auto"/>
          <w:lang w:val="en-US" w:eastAsia="zh-CN" w:bidi="ar"/>
        </w:rPr>
        <w:t>固体废物管理工作。按“无害化、减量化、资源化”原则，做好固体分类收集和综合利用，并建立固体废物产生、储存、处置管理台账，落实危险废物转移联单制度。不合格品、</w:t>
      </w:r>
      <w:r>
        <w:rPr>
          <w:rFonts w:hint="eastAsia" w:ascii="仿宋" w:hAnsi="仿宋" w:eastAsia="仿宋" w:cs="仿宋"/>
          <w:color w:val="auto"/>
          <w:kern w:val="0"/>
          <w:sz w:val="32"/>
          <w:szCs w:val="32"/>
          <w:highlight w:val="none"/>
          <w:u w:val="none" w:color="auto"/>
          <w:lang w:val="en-US" w:eastAsia="zh-CN" w:bidi="ar"/>
        </w:rPr>
        <w:t>废膜、一般性废包装材料</w:t>
      </w:r>
      <w:r>
        <w:rPr>
          <w:rFonts w:hint="eastAsia" w:ascii="仿宋" w:hAnsi="仿宋" w:eastAsia="仿宋" w:cs="仿宋"/>
          <w:b w:val="0"/>
          <w:bCs w:val="0"/>
          <w:color w:val="auto"/>
          <w:kern w:val="2"/>
          <w:sz w:val="32"/>
          <w:szCs w:val="32"/>
          <w:highlight w:val="none"/>
          <w:u w:val="none" w:color="auto"/>
          <w:lang w:val="en-US" w:eastAsia="zh-CN" w:bidi="ar"/>
        </w:rPr>
        <w:t>等</w:t>
      </w:r>
      <w:r>
        <w:rPr>
          <w:rFonts w:hint="eastAsia" w:ascii="仿宋" w:hAnsi="仿宋" w:eastAsia="仿宋" w:cs="仿宋"/>
          <w:b w:val="0"/>
          <w:bCs w:val="0"/>
          <w:color w:val="auto"/>
          <w:kern w:val="0"/>
          <w:sz w:val="32"/>
          <w:szCs w:val="32"/>
          <w:highlight w:val="none"/>
          <w:u w:val="none" w:color="auto"/>
          <w:lang w:val="en-US" w:eastAsia="zh-CN" w:bidi="ar"/>
        </w:rPr>
        <w:t>一般固体废物严格按</w:t>
      </w:r>
      <w:bookmarkStart w:id="0" w:name="_Hlk59022914"/>
      <w:r>
        <w:rPr>
          <w:rFonts w:hint="eastAsia" w:ascii="仿宋" w:hAnsi="仿宋" w:eastAsia="仿宋" w:cs="仿宋"/>
          <w:b w:val="0"/>
          <w:bCs w:val="0"/>
          <w:color w:val="auto"/>
          <w:kern w:val="0"/>
          <w:sz w:val="32"/>
          <w:szCs w:val="32"/>
          <w:highlight w:val="none"/>
          <w:u w:val="none" w:color="auto"/>
          <w:lang w:val="en-US" w:eastAsia="zh-CN" w:bidi="ar"/>
        </w:rPr>
        <w:t>《一般工业固体废物贮存和填埋污染控制标准》（GB18599-2020）</w:t>
      </w:r>
      <w:bookmarkEnd w:id="0"/>
      <w:r>
        <w:rPr>
          <w:rFonts w:hint="eastAsia" w:ascii="仿宋" w:hAnsi="仿宋" w:eastAsia="仿宋" w:cs="仿宋"/>
          <w:b w:val="0"/>
          <w:bCs w:val="0"/>
          <w:color w:val="auto"/>
          <w:kern w:val="0"/>
          <w:sz w:val="32"/>
          <w:szCs w:val="32"/>
          <w:highlight w:val="none"/>
          <w:u w:val="none" w:color="auto"/>
          <w:lang w:val="en-US" w:eastAsia="zh-CN" w:bidi="ar"/>
        </w:rPr>
        <w:t>要求集中收集后</w:t>
      </w:r>
      <w:r>
        <w:rPr>
          <w:rFonts w:hint="eastAsia" w:ascii="仿宋" w:hAnsi="仿宋" w:eastAsia="仿宋" w:cs="仿宋"/>
          <w:color w:val="auto"/>
          <w:kern w:val="0"/>
          <w:sz w:val="32"/>
          <w:szCs w:val="32"/>
          <w:highlight w:val="none"/>
          <w:u w:val="none" w:color="auto"/>
          <w:lang w:val="en-US" w:eastAsia="zh-CN" w:bidi="ar"/>
        </w:rPr>
        <w:t>外售综合利用</w:t>
      </w:r>
      <w:r>
        <w:rPr>
          <w:rFonts w:hint="eastAsia" w:ascii="仿宋" w:hAnsi="仿宋" w:eastAsia="仿宋" w:cs="仿宋"/>
          <w:b w:val="0"/>
          <w:bCs w:val="0"/>
          <w:color w:val="auto"/>
          <w:kern w:val="2"/>
          <w:sz w:val="32"/>
          <w:szCs w:val="32"/>
          <w:highlight w:val="none"/>
          <w:u w:val="none" w:color="auto"/>
          <w:lang w:val="en-US" w:eastAsia="zh-CN" w:bidi="ar"/>
        </w:rPr>
        <w:t>和</w:t>
      </w:r>
      <w:r>
        <w:rPr>
          <w:rFonts w:hint="eastAsia" w:ascii="仿宋" w:hAnsi="仿宋" w:eastAsia="仿宋" w:cs="仿宋"/>
          <w:color w:val="auto"/>
          <w:kern w:val="0"/>
          <w:sz w:val="32"/>
          <w:szCs w:val="32"/>
          <w:highlight w:val="none"/>
          <w:u w:val="none" w:color="auto"/>
          <w:lang w:val="en-US" w:eastAsia="zh-CN" w:bidi="ar"/>
        </w:rPr>
        <w:t>由厂家回收利用</w:t>
      </w:r>
      <w:r>
        <w:rPr>
          <w:rFonts w:hint="eastAsia" w:ascii="仿宋" w:hAnsi="仿宋" w:eastAsia="仿宋" w:cs="仿宋"/>
          <w:b w:val="0"/>
          <w:bCs w:val="0"/>
          <w:color w:val="auto"/>
          <w:kern w:val="0"/>
          <w:sz w:val="32"/>
          <w:szCs w:val="32"/>
          <w:highlight w:val="none"/>
          <w:u w:val="none" w:color="auto"/>
          <w:lang w:val="en-US" w:eastAsia="zh-CN" w:bidi="ar"/>
        </w:rPr>
        <w:t>；</w:t>
      </w:r>
      <w:r>
        <w:rPr>
          <w:rFonts w:hint="eastAsia" w:ascii="仿宋" w:hAnsi="仿宋" w:eastAsia="仿宋" w:cs="仿宋"/>
          <w:color w:val="auto"/>
          <w:kern w:val="2"/>
          <w:sz w:val="32"/>
          <w:szCs w:val="32"/>
          <w:highlight w:val="none"/>
          <w:u w:val="none" w:color="auto"/>
          <w:lang w:val="en-US" w:eastAsia="zh-CN" w:bidi="ar-SA"/>
        </w:rPr>
        <w:t>溶剂型胶粘剂包装桶</w:t>
      </w:r>
      <w:r>
        <w:rPr>
          <w:rFonts w:hint="eastAsia" w:ascii="仿宋" w:hAnsi="仿宋" w:eastAsia="仿宋" w:cs="仿宋"/>
          <w:b w:val="0"/>
          <w:bCs w:val="0"/>
          <w:color w:val="auto"/>
          <w:kern w:val="2"/>
          <w:sz w:val="32"/>
          <w:szCs w:val="32"/>
          <w:highlight w:val="none"/>
          <w:u w:val="none" w:color="auto"/>
          <w:lang w:val="en-US" w:eastAsia="zh-CN" w:bidi="ar"/>
        </w:rPr>
        <w:t>、废活性炭、</w:t>
      </w:r>
      <w:r>
        <w:rPr>
          <w:rFonts w:hint="eastAsia" w:ascii="仿宋" w:hAnsi="仿宋" w:eastAsia="仿宋" w:cs="仿宋"/>
          <w:color w:val="auto"/>
          <w:kern w:val="0"/>
          <w:sz w:val="32"/>
          <w:szCs w:val="32"/>
          <w:highlight w:val="none"/>
          <w:u w:val="none" w:color="auto"/>
          <w:lang w:val="en-US" w:eastAsia="zh-CN" w:bidi="ar"/>
        </w:rPr>
        <w:t>废矿物油</w:t>
      </w:r>
      <w:r>
        <w:rPr>
          <w:rFonts w:hint="eastAsia" w:ascii="仿宋" w:hAnsi="仿宋" w:eastAsia="仿宋" w:cs="仿宋"/>
          <w:b w:val="0"/>
          <w:bCs w:val="0"/>
          <w:color w:val="auto"/>
          <w:kern w:val="0"/>
          <w:sz w:val="32"/>
          <w:szCs w:val="32"/>
          <w:highlight w:val="none"/>
          <w:u w:val="none" w:color="auto"/>
          <w:lang w:val="en-US" w:eastAsia="zh-CN" w:bidi="ar"/>
        </w:rPr>
        <w:t>等危险废物严格按</w:t>
      </w:r>
      <w:r>
        <w:rPr>
          <w:rFonts w:hint="eastAsia" w:ascii="仿宋" w:hAnsi="仿宋" w:eastAsia="仿宋" w:cs="仿宋"/>
          <w:b w:val="0"/>
          <w:bCs w:val="0"/>
          <w:color w:val="auto"/>
          <w:kern w:val="0"/>
          <w:sz w:val="32"/>
          <w:szCs w:val="32"/>
          <w:highlight w:val="none"/>
          <w:u w:val="none" w:color="auto"/>
          <w:lang w:val="en-US" w:eastAsia="zh-CN" w:bidi="ar-SA"/>
        </w:rPr>
        <w:t>《危险废物贮存污染控制标准》（GB18597-2023）</w:t>
      </w:r>
      <w:r>
        <w:rPr>
          <w:rFonts w:hint="eastAsia" w:ascii="仿宋" w:hAnsi="仿宋" w:eastAsia="仿宋" w:cs="仿宋"/>
          <w:b w:val="0"/>
          <w:bCs w:val="0"/>
          <w:color w:val="auto"/>
          <w:kern w:val="0"/>
          <w:sz w:val="32"/>
          <w:szCs w:val="32"/>
          <w:highlight w:val="none"/>
          <w:u w:val="none" w:color="auto"/>
          <w:lang w:val="en-US" w:eastAsia="zh-CN" w:bidi="ar"/>
        </w:rPr>
        <w:t>要求暂存，委托有资质的单位处置并</w:t>
      </w:r>
      <w:r>
        <w:rPr>
          <w:rFonts w:hint="eastAsia" w:ascii="仿宋" w:hAnsi="仿宋" w:eastAsia="仿宋" w:cs="仿宋"/>
          <w:b w:val="0"/>
          <w:bCs w:val="0"/>
          <w:color w:val="auto"/>
          <w:kern w:val="0"/>
          <w:sz w:val="32"/>
          <w:szCs w:val="32"/>
          <w:highlight w:val="none"/>
          <w:u w:val="none" w:color="auto"/>
          <w:lang w:val="en-US" w:eastAsia="zh-CN" w:bidi="ar-SA"/>
        </w:rPr>
        <w:t>执行《危险废物收集贮存运输技术规范》（HJ 2025-2012）相关标准</w:t>
      </w:r>
      <w:r>
        <w:rPr>
          <w:rFonts w:hint="eastAsia" w:ascii="仿宋" w:hAnsi="仿宋" w:eastAsia="仿宋" w:cs="仿宋"/>
          <w:b w:val="0"/>
          <w:bCs w:val="0"/>
          <w:color w:val="auto"/>
          <w:kern w:val="0"/>
          <w:sz w:val="32"/>
          <w:szCs w:val="32"/>
          <w:highlight w:val="none"/>
          <w:u w:val="none" w:color="auto"/>
          <w:lang w:val="en-US" w:eastAsia="zh-CN" w:bidi="ar"/>
        </w:rPr>
        <w:t>；生活垃圾交</w:t>
      </w:r>
      <w:r>
        <w:rPr>
          <w:rFonts w:hint="eastAsia" w:ascii="仿宋" w:hAnsi="仿宋" w:eastAsia="仿宋" w:cs="仿宋"/>
          <w:b w:val="0"/>
          <w:bCs w:val="0"/>
          <w:color w:val="auto"/>
          <w:kern w:val="2"/>
          <w:sz w:val="32"/>
          <w:szCs w:val="32"/>
          <w:highlight w:val="none"/>
          <w:u w:val="none" w:color="auto"/>
          <w:lang w:val="en-US" w:eastAsia="zh-CN" w:bidi="ar"/>
        </w:rPr>
        <w:t>由环卫部门收集处理</w:t>
      </w:r>
      <w:r>
        <w:rPr>
          <w:rFonts w:hint="eastAsia" w:ascii="仿宋" w:hAnsi="仿宋" w:eastAsia="仿宋" w:cs="仿宋"/>
          <w:b w:val="0"/>
          <w:bCs w:val="0"/>
          <w:color w:val="auto"/>
          <w:kern w:val="0"/>
          <w:sz w:val="32"/>
          <w:szCs w:val="32"/>
          <w:highlight w:val="none"/>
          <w:u w:val="none" w:color="auto"/>
          <w:lang w:val="en-US" w:eastAsia="zh-CN" w:bidi="ar"/>
        </w:rPr>
        <w:t>。</w:t>
      </w:r>
    </w:p>
    <w:p w14:paraId="0BD4E79E">
      <w:pPr>
        <w:keepNext w:val="0"/>
        <w:keepLines w:val="0"/>
        <w:pageBreakBefore w:val="0"/>
        <w:widowControl w:val="0"/>
        <w:suppressLineNumbers w:val="0"/>
        <w:kinsoku/>
        <w:wordWrap w:val="0"/>
        <w:overflowPunct/>
        <w:topLinePunct/>
        <w:autoSpaceDE/>
        <w:autoSpaceDN/>
        <w:bidi w:val="0"/>
        <w:spacing w:before="0" w:beforeAutospacing="0" w:after="0" w:afterAutospacing="0" w:line="520" w:lineRule="exact"/>
        <w:ind w:left="0" w:right="0" w:firstLine="640"/>
        <w:jc w:val="both"/>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6、加强环境风险防范。严格落实报告书提出的各项环境风险防范措施，</w:t>
      </w:r>
      <w:r>
        <w:rPr>
          <w:rFonts w:hint="eastAsia" w:ascii="仿宋" w:hAnsi="仿宋" w:eastAsia="仿宋" w:cs="仿宋"/>
          <w:b w:val="0"/>
          <w:bCs w:val="0"/>
          <w:color w:val="auto"/>
          <w:kern w:val="0"/>
          <w:sz w:val="32"/>
          <w:szCs w:val="32"/>
          <w:highlight w:val="none"/>
          <w:u w:val="none" w:color="auto"/>
          <w:lang w:bidi="ar"/>
        </w:rPr>
        <w:t>按</w:t>
      </w:r>
      <w:r>
        <w:rPr>
          <w:rFonts w:hint="eastAsia" w:ascii="仿宋" w:hAnsi="仿宋" w:eastAsia="仿宋" w:cs="仿宋"/>
          <w:b w:val="0"/>
          <w:bCs w:val="0"/>
          <w:color w:val="auto"/>
          <w:kern w:val="0"/>
          <w:sz w:val="32"/>
          <w:szCs w:val="32"/>
          <w:highlight w:val="none"/>
          <w:u w:val="none" w:color="auto"/>
          <w:lang w:val="en-US" w:eastAsia="zh-CN" w:bidi="ar"/>
        </w:rPr>
        <w:t>相关</w:t>
      </w:r>
      <w:r>
        <w:rPr>
          <w:rFonts w:hint="eastAsia" w:ascii="仿宋" w:hAnsi="仿宋" w:eastAsia="仿宋" w:cs="仿宋"/>
          <w:b w:val="0"/>
          <w:bCs w:val="0"/>
          <w:color w:val="auto"/>
          <w:kern w:val="0"/>
          <w:sz w:val="32"/>
          <w:szCs w:val="32"/>
          <w:highlight w:val="none"/>
          <w:u w:val="none" w:color="auto"/>
          <w:lang w:bidi="ar"/>
        </w:rPr>
        <w:t>要求进行企业突发环境事件应急预案的编制和备案</w:t>
      </w:r>
      <w:r>
        <w:rPr>
          <w:rFonts w:hint="eastAsia" w:ascii="仿宋" w:hAnsi="仿宋" w:eastAsia="仿宋" w:cs="仿宋"/>
          <w:b w:val="0"/>
          <w:bCs w:val="0"/>
          <w:color w:val="auto"/>
          <w:kern w:val="2"/>
          <w:sz w:val="32"/>
          <w:szCs w:val="32"/>
          <w:highlight w:val="none"/>
          <w:u w:val="none" w:color="auto"/>
          <w:lang w:val="en-US" w:eastAsia="zh-CN" w:bidi="ar"/>
        </w:rPr>
        <w:t>。</w:t>
      </w:r>
    </w:p>
    <w:p w14:paraId="629C2D7B">
      <w:pPr>
        <w:keepNext w:val="0"/>
        <w:keepLines w:val="0"/>
        <w:pageBreakBefore w:val="0"/>
        <w:widowControl w:val="0"/>
        <w:suppressLineNumbers w:val="0"/>
        <w:kinsoku/>
        <w:wordWrap w:val="0"/>
        <w:overflowPunct/>
        <w:topLinePunct/>
        <w:autoSpaceDE/>
        <w:autoSpaceDN/>
        <w:bidi w:val="0"/>
        <w:spacing w:before="0" w:beforeAutospacing="0" w:after="0" w:afterAutospacing="0" w:line="520" w:lineRule="exact"/>
        <w:ind w:left="0" w:right="0" w:firstLine="640"/>
        <w:jc w:val="both"/>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7、加强环境管理。设立</w:t>
      </w:r>
      <w:r>
        <w:rPr>
          <w:rFonts w:hint="eastAsia" w:ascii="仿宋" w:hAnsi="仿宋" w:eastAsia="仿宋" w:cs="仿宋"/>
          <w:b w:val="0"/>
          <w:bCs w:val="0"/>
          <w:color w:val="auto"/>
          <w:sz w:val="32"/>
          <w:szCs w:val="32"/>
          <w:highlight w:val="none"/>
          <w:u w:val="none" w:color="auto"/>
          <w:lang w:val="en-US" w:eastAsia="zh-CN"/>
        </w:rPr>
        <w:t>环境管理机构</w:t>
      </w:r>
      <w:r>
        <w:rPr>
          <w:rFonts w:hint="eastAsia" w:ascii="仿宋" w:hAnsi="仿宋" w:eastAsia="仿宋" w:cs="仿宋"/>
          <w:b w:val="0"/>
          <w:bCs w:val="0"/>
          <w:color w:val="auto"/>
          <w:kern w:val="2"/>
          <w:sz w:val="32"/>
          <w:szCs w:val="32"/>
          <w:highlight w:val="none"/>
          <w:u w:val="none" w:color="auto"/>
          <w:lang w:val="en-US" w:eastAsia="zh-CN" w:bidi="ar"/>
        </w:rPr>
        <w:t>及环保人员，建立健全污染防治设施运行管理台帐，确保各项污染防治设施的正常运行，各类污染物稳定达标排放。</w:t>
      </w:r>
    </w:p>
    <w:p w14:paraId="6551A233">
      <w:pPr>
        <w:keepNext w:val="0"/>
        <w:keepLines w:val="0"/>
        <w:pageBreakBefore w:val="0"/>
        <w:widowControl w:val="0"/>
        <w:suppressLineNumbers w:val="0"/>
        <w:kinsoku/>
        <w:overflowPunct/>
        <w:autoSpaceDE/>
        <w:autoSpaceDN/>
        <w:bidi w:val="0"/>
        <w:spacing w:before="0" w:beforeAutospacing="0" w:after="0" w:afterAutospacing="0" w:line="520" w:lineRule="exact"/>
        <w:ind w:left="0" w:right="0" w:firstLine="640" w:firstLineChars="200"/>
        <w:jc w:val="both"/>
        <w:rPr>
          <w:rFonts w:hint="eastAsia" w:ascii="仿宋" w:hAnsi="仿宋" w:eastAsia="仿宋" w:cs="仿宋"/>
          <w:b w:val="0"/>
          <w:bCs w:val="0"/>
          <w:color w:val="auto"/>
          <w:kern w:val="0"/>
          <w:sz w:val="32"/>
          <w:szCs w:val="32"/>
          <w:highlight w:val="none"/>
          <w:u w:val="none" w:color="auto"/>
          <w:lang w:val="en-US" w:eastAsia="zh-CN" w:bidi="ar-SA"/>
        </w:rPr>
      </w:pPr>
      <w:r>
        <w:rPr>
          <w:rFonts w:hint="eastAsia" w:ascii="仿宋" w:hAnsi="仿宋" w:eastAsia="仿宋" w:cs="仿宋"/>
          <w:b w:val="0"/>
          <w:bCs w:val="0"/>
          <w:color w:val="auto"/>
          <w:kern w:val="2"/>
          <w:sz w:val="32"/>
          <w:szCs w:val="32"/>
          <w:highlight w:val="none"/>
          <w:u w:val="none" w:color="auto"/>
          <w:lang w:val="en-US" w:eastAsia="zh-CN" w:bidi="ar"/>
        </w:rPr>
        <w:t>8、你公司核定的总量指标为：</w:t>
      </w:r>
      <w:r>
        <w:rPr>
          <w:rFonts w:hint="eastAsia" w:ascii="仿宋" w:hAnsi="仿宋" w:eastAsia="仿宋" w:cs="仿宋"/>
          <w:b w:val="0"/>
          <w:bCs w:val="0"/>
          <w:color w:val="auto"/>
          <w:kern w:val="28"/>
          <w:sz w:val="32"/>
          <w:szCs w:val="32"/>
          <w:highlight w:val="none"/>
          <w:u w:val="none" w:color="auto"/>
          <w:lang w:val="en-US" w:eastAsia="zh-CN" w:bidi="ar-SA"/>
        </w:rPr>
        <w:t>VOCs：2.8t/a；</w:t>
      </w:r>
      <w:r>
        <w:rPr>
          <w:rFonts w:hint="eastAsia" w:ascii="仿宋" w:hAnsi="仿宋" w:eastAsia="仿宋" w:cs="仿宋"/>
          <w:color w:val="auto"/>
          <w:kern w:val="0"/>
          <w:sz w:val="32"/>
          <w:szCs w:val="32"/>
          <w:highlight w:val="none"/>
          <w:u w:val="none" w:color="auto"/>
          <w:lang w:val="en-US" w:eastAsia="zh-CN" w:bidi="ar"/>
        </w:rPr>
        <w:t>本项目废水仅为生活污水,无需另行单独申请污染物总量控制指标</w:t>
      </w:r>
      <w:r>
        <w:rPr>
          <w:rFonts w:hint="eastAsia" w:ascii="仿宋" w:hAnsi="仿宋" w:eastAsia="仿宋" w:cs="仿宋"/>
          <w:b w:val="0"/>
          <w:bCs w:val="0"/>
          <w:color w:val="auto"/>
          <w:kern w:val="28"/>
          <w:sz w:val="32"/>
          <w:szCs w:val="32"/>
          <w:highlight w:val="none"/>
          <w:u w:val="none" w:color="auto"/>
          <w:lang w:val="en-US" w:eastAsia="zh-CN" w:bidi="ar"/>
        </w:rPr>
        <w:t>。</w:t>
      </w:r>
    </w:p>
    <w:p w14:paraId="506791A3">
      <w:pPr>
        <w:keepNext w:val="0"/>
        <w:keepLines w:val="0"/>
        <w:pageBreakBefore w:val="0"/>
        <w:kinsoku/>
        <w:overflowPunct/>
        <w:autoSpaceDE/>
        <w:autoSpaceDN/>
        <w:bidi w:val="0"/>
        <w:adjustRightInd w:val="0"/>
        <w:spacing w:line="520" w:lineRule="exact"/>
        <w:ind w:firstLine="640" w:firstLineChars="200"/>
        <w:jc w:val="left"/>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三、你公司应在收到本批复后15个工作日内，将批复及批准的环评报告文本送至岳阳市生</w:t>
      </w:r>
      <w:bookmarkStart w:id="1" w:name="_GoBack"/>
      <w:bookmarkEnd w:id="1"/>
      <w:r>
        <w:rPr>
          <w:rFonts w:hint="eastAsia" w:ascii="仿宋" w:hAnsi="仿宋" w:eastAsia="仿宋" w:cs="仿宋"/>
          <w:b w:val="0"/>
          <w:bCs w:val="0"/>
          <w:color w:val="auto"/>
          <w:kern w:val="2"/>
          <w:sz w:val="32"/>
          <w:szCs w:val="32"/>
          <w:highlight w:val="none"/>
          <w:u w:val="none" w:color="auto"/>
          <w:lang w:val="en-US" w:eastAsia="zh-CN" w:bidi="ar"/>
        </w:rPr>
        <w:t>态环境局汨罗分局、</w:t>
      </w:r>
      <w:r>
        <w:rPr>
          <w:rFonts w:hint="eastAsia" w:ascii="仿宋" w:hAnsi="仿宋" w:eastAsia="仿宋" w:cs="仿宋"/>
          <w:b w:val="0"/>
          <w:bCs w:val="0"/>
          <w:color w:val="auto"/>
          <w:sz w:val="32"/>
          <w:szCs w:val="32"/>
          <w:highlight w:val="none"/>
          <w:u w:val="none" w:color="auto"/>
          <w:lang w:val="en-US" w:eastAsia="zh-CN"/>
        </w:rPr>
        <w:t>湖南润为环保科技有限公司</w:t>
      </w:r>
      <w:r>
        <w:rPr>
          <w:rFonts w:hint="eastAsia" w:ascii="仿宋" w:hAnsi="仿宋" w:eastAsia="仿宋" w:cs="仿宋"/>
          <w:b w:val="0"/>
          <w:bCs w:val="0"/>
          <w:color w:val="auto"/>
          <w:kern w:val="2"/>
          <w:sz w:val="32"/>
          <w:szCs w:val="32"/>
          <w:highlight w:val="none"/>
          <w:u w:val="none" w:color="auto"/>
          <w:lang w:val="en-US" w:eastAsia="zh-CN" w:bidi="ar"/>
        </w:rPr>
        <w:t>。</w:t>
      </w:r>
    </w:p>
    <w:p w14:paraId="791B756E">
      <w:pPr>
        <w:keepNext w:val="0"/>
        <w:keepLines w:val="0"/>
        <w:pageBreakBefore w:val="0"/>
        <w:widowControl w:val="0"/>
        <w:suppressLineNumbers w:val="0"/>
        <w:kinsoku/>
        <w:wordWrap w:val="0"/>
        <w:overflowPunct/>
        <w:topLinePunct/>
        <w:autoSpaceDE/>
        <w:autoSpaceDN/>
        <w:bidi w:val="0"/>
        <w:spacing w:before="0" w:beforeAutospacing="0" w:after="0" w:afterAutospacing="0" w:line="520" w:lineRule="exact"/>
        <w:ind w:left="0" w:right="0" w:firstLine="640" w:firstLineChars="200"/>
        <w:jc w:val="both"/>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四、请岳阳市生态环境局汨罗分局负责项目建设期和运营期的日常环境监管。</w:t>
      </w:r>
    </w:p>
    <w:p w14:paraId="250C0471">
      <w:pPr>
        <w:keepNext w:val="0"/>
        <w:keepLines w:val="0"/>
        <w:pageBreakBefore w:val="0"/>
        <w:widowControl/>
        <w:suppressLineNumbers w:val="0"/>
        <w:kinsoku w:val="0"/>
        <w:wordWrap w:val="0"/>
        <w:overflowPunct w:val="0"/>
        <w:topLinePunct w:val="0"/>
        <w:autoSpaceDE/>
        <w:autoSpaceDN/>
        <w:bidi w:val="0"/>
        <w:snapToGrid w:val="0"/>
        <w:spacing w:before="0" w:beforeAutospacing="0" w:after="0" w:afterAutospacing="0" w:line="520" w:lineRule="exact"/>
        <w:ind w:left="1" w:right="0" w:firstLine="5440" w:firstLineChars="1700"/>
        <w:jc w:val="both"/>
        <w:rPr>
          <w:rFonts w:hint="eastAsia" w:ascii="仿宋" w:hAnsi="仿宋" w:eastAsia="仿宋" w:cs="仿宋"/>
          <w:color w:val="auto"/>
          <w:kern w:val="2"/>
          <w:sz w:val="32"/>
          <w:szCs w:val="32"/>
          <w:highlight w:val="none"/>
          <w:u w:val="none" w:color="auto"/>
          <w:lang w:val="en-US" w:eastAsia="zh-CN" w:bidi="ar"/>
        </w:rPr>
      </w:pPr>
    </w:p>
    <w:p w14:paraId="1831322D">
      <w:pPr>
        <w:keepNext w:val="0"/>
        <w:keepLines w:val="0"/>
        <w:pageBreakBefore w:val="0"/>
        <w:widowControl/>
        <w:suppressLineNumbers w:val="0"/>
        <w:kinsoku w:val="0"/>
        <w:wordWrap w:val="0"/>
        <w:overflowPunct w:val="0"/>
        <w:topLinePunct w:val="0"/>
        <w:autoSpaceDE/>
        <w:autoSpaceDN/>
        <w:bidi w:val="0"/>
        <w:snapToGrid w:val="0"/>
        <w:spacing w:before="0" w:beforeAutospacing="0" w:after="0" w:afterAutospacing="0" w:line="520" w:lineRule="exact"/>
        <w:ind w:left="1" w:right="0" w:firstLine="5440" w:firstLineChars="1700"/>
        <w:jc w:val="both"/>
        <w:rPr>
          <w:rFonts w:hint="eastAsia" w:ascii="仿宋" w:hAnsi="仿宋" w:eastAsia="仿宋" w:cs="仿宋"/>
          <w:color w:val="auto"/>
          <w:kern w:val="2"/>
          <w:sz w:val="32"/>
          <w:szCs w:val="32"/>
          <w:highlight w:val="none"/>
          <w:u w:val="none" w:color="auto"/>
          <w:lang w:val="en-US" w:eastAsia="zh-CN" w:bidi="ar"/>
        </w:rPr>
      </w:pPr>
    </w:p>
    <w:p w14:paraId="3DD5523F">
      <w:pPr>
        <w:keepNext w:val="0"/>
        <w:keepLines w:val="0"/>
        <w:pageBreakBefore w:val="0"/>
        <w:widowControl/>
        <w:suppressLineNumbers w:val="0"/>
        <w:kinsoku w:val="0"/>
        <w:wordWrap w:val="0"/>
        <w:overflowPunct w:val="0"/>
        <w:topLinePunct w:val="0"/>
        <w:autoSpaceDE/>
        <w:autoSpaceDN/>
        <w:bidi w:val="0"/>
        <w:snapToGrid w:val="0"/>
        <w:spacing w:before="0" w:beforeAutospacing="0" w:after="0" w:afterAutospacing="0" w:line="520" w:lineRule="exact"/>
        <w:ind w:left="1" w:right="0" w:firstLine="5440" w:firstLineChars="1700"/>
        <w:jc w:val="both"/>
        <w:rPr>
          <w:rFonts w:hint="eastAsia" w:ascii="仿宋" w:hAnsi="仿宋" w:eastAsia="仿宋" w:cs="仿宋"/>
          <w:color w:val="auto"/>
          <w:kern w:val="2"/>
          <w:sz w:val="32"/>
          <w:szCs w:val="32"/>
          <w:highlight w:val="none"/>
          <w:u w:val="none" w:color="auto"/>
          <w:lang w:val="en-US" w:eastAsia="zh-CN" w:bidi="ar"/>
        </w:rPr>
      </w:pPr>
      <w:r>
        <w:rPr>
          <w:rFonts w:hint="eastAsia" w:ascii="仿宋" w:hAnsi="仿宋" w:eastAsia="仿宋" w:cs="仿宋"/>
          <w:color w:val="auto"/>
          <w:kern w:val="2"/>
          <w:sz w:val="32"/>
          <w:szCs w:val="32"/>
          <w:highlight w:val="none"/>
          <w:u w:val="none" w:color="auto"/>
          <w:lang w:val="en-US" w:eastAsia="zh-CN" w:bidi="ar"/>
        </w:rPr>
        <w:t>岳阳市生态环境局</w:t>
      </w:r>
    </w:p>
    <w:p w14:paraId="1D3DEB6E">
      <w:pPr>
        <w:keepNext w:val="0"/>
        <w:keepLines w:val="0"/>
        <w:pageBreakBefore w:val="0"/>
        <w:widowControl w:val="0"/>
        <w:suppressLineNumbers w:val="0"/>
        <w:kinsoku w:val="0"/>
        <w:wordWrap w:val="0"/>
        <w:overflowPunct w:val="0"/>
        <w:topLinePunct w:val="0"/>
        <w:autoSpaceDE/>
        <w:autoSpaceDN/>
        <w:bidi w:val="0"/>
        <w:spacing w:before="0" w:beforeAutospacing="0" w:after="0" w:afterAutospacing="0" w:line="520" w:lineRule="exact"/>
        <w:ind w:left="0" w:right="0"/>
        <w:jc w:val="both"/>
        <w:rPr>
          <w:rFonts w:hint="eastAsia" w:ascii="仿宋" w:hAnsi="仿宋" w:eastAsia="仿宋" w:cs="仿宋"/>
          <w:color w:val="auto"/>
          <w:sz w:val="32"/>
          <w:szCs w:val="32"/>
          <w:highlight w:val="none"/>
          <w:u w:val="none" w:color="auto"/>
          <w:lang w:val="en-US"/>
        </w:rPr>
      </w:pPr>
      <w:r>
        <w:rPr>
          <w:rFonts w:hint="eastAsia" w:ascii="仿宋" w:hAnsi="仿宋" w:eastAsia="仿宋" w:cs="仿宋"/>
          <w:color w:val="auto"/>
          <w:kern w:val="2"/>
          <w:sz w:val="32"/>
          <w:szCs w:val="32"/>
          <w:highlight w:val="none"/>
          <w:u w:val="none" w:color="auto"/>
          <w:lang w:val="en-US" w:eastAsia="zh-CN" w:bidi="ar"/>
        </w:rPr>
        <w:t xml:space="preserve">                                  2024年8月1日</w:t>
      </w:r>
    </w:p>
    <w:p w14:paraId="54A69F79">
      <w:pPr>
        <w:keepNext w:val="0"/>
        <w:keepLines w:val="0"/>
        <w:pageBreakBefore w:val="0"/>
        <w:widowControl w:val="0"/>
        <w:suppressLineNumbers w:val="0"/>
        <w:kinsoku w:val="0"/>
        <w:wordWrap w:val="0"/>
        <w:overflowPunct w:val="0"/>
        <w:topLinePunct w:val="0"/>
        <w:autoSpaceDE/>
        <w:autoSpaceDN/>
        <w:bidi w:val="0"/>
        <w:spacing w:before="0" w:beforeAutospacing="0" w:after="0" w:afterAutospacing="0" w:line="520" w:lineRule="exact"/>
        <w:ind w:left="0" w:right="0"/>
        <w:jc w:val="both"/>
        <w:rPr>
          <w:rFonts w:hint="eastAsia" w:ascii="仿宋" w:hAnsi="仿宋" w:eastAsia="仿宋" w:cs="仿宋"/>
          <w:color w:val="auto"/>
          <w:sz w:val="32"/>
          <w:szCs w:val="32"/>
          <w:highlight w:val="none"/>
          <w:u w:val="none" w:color="auto"/>
          <w:lang w:val="en-US"/>
        </w:rPr>
      </w:pPr>
    </w:p>
    <w:p w14:paraId="7B1E0CEE">
      <w:pPr>
        <w:keepNext w:val="0"/>
        <w:keepLines w:val="0"/>
        <w:pageBreakBefore w:val="0"/>
        <w:widowControl w:val="0"/>
        <w:suppressLineNumbers w:val="0"/>
        <w:kinsoku w:val="0"/>
        <w:wordWrap w:val="0"/>
        <w:overflowPunct w:val="0"/>
        <w:topLinePunct w:val="0"/>
        <w:autoSpaceDE/>
        <w:autoSpaceDN/>
        <w:bidi w:val="0"/>
        <w:spacing w:before="0" w:beforeAutospacing="0" w:after="0" w:afterAutospacing="0" w:line="240" w:lineRule="auto"/>
        <w:ind w:left="0" w:right="0"/>
        <w:jc w:val="both"/>
        <w:rPr>
          <w:rFonts w:hint="eastAsia" w:ascii="仿宋" w:hAnsi="仿宋" w:eastAsia="仿宋" w:cs="仿宋"/>
          <w:color w:val="auto"/>
          <w:sz w:val="32"/>
          <w:szCs w:val="32"/>
          <w:highlight w:val="none"/>
          <w:u w:val="none" w:color="auto"/>
          <w:lang w:val="en-US"/>
        </w:rPr>
      </w:pPr>
    </w:p>
    <w:p w14:paraId="55CC37B2">
      <w:pPr>
        <w:keepNext w:val="0"/>
        <w:keepLines w:val="0"/>
        <w:pageBreakBefore w:val="0"/>
        <w:kinsoku w:val="0"/>
        <w:wordWrap w:val="0"/>
        <w:overflowPunct w:val="0"/>
        <w:topLinePunct w:val="0"/>
        <w:autoSpaceDE/>
        <w:autoSpaceDN/>
        <w:bidi w:val="0"/>
        <w:spacing w:line="240" w:lineRule="auto"/>
        <w:rPr>
          <w:rFonts w:hint="eastAsia" w:ascii="仿宋" w:hAnsi="仿宋" w:eastAsia="仿宋" w:cs="仿宋"/>
          <w:color w:val="auto"/>
          <w:sz w:val="32"/>
          <w:szCs w:val="32"/>
          <w:highlight w:val="none"/>
          <w:u w:val="none" w:color="auto"/>
        </w:rPr>
      </w:pPr>
    </w:p>
    <w:sectPr>
      <w:footerReference r:id="rId3" w:type="default"/>
      <w:pgSz w:w="11906" w:h="16838"/>
      <w:pgMar w:top="1304" w:right="1474" w:bottom="1247"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98D3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DEF92">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6DEF92">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21"/>
      <w:lvlText w:val="%3."/>
      <w:lvlJc w:val="right"/>
      <w:pPr>
        <w:tabs>
          <w:tab w:val="left" w:pos="1260"/>
        </w:tabs>
        <w:ind w:left="1260" w:hanging="420"/>
      </w:pPr>
    </w:lvl>
    <w:lvl w:ilvl="3" w:tentative="0">
      <w:start w:val="1"/>
      <w:numFmt w:val="decimal"/>
      <w:pStyle w:val="2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1AFA61C"/>
    <w:multiLevelType w:val="singleLevel"/>
    <w:tmpl w:val="11AFA61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MDIxOTg1Y2IyNTIxZTQzNzE4NWY4NzljZDZiMDUifQ=="/>
  </w:docVars>
  <w:rsids>
    <w:rsidRoot w:val="00000000"/>
    <w:rsid w:val="005039AE"/>
    <w:rsid w:val="00D57384"/>
    <w:rsid w:val="0B3B6F20"/>
    <w:rsid w:val="11F33019"/>
    <w:rsid w:val="13955CCA"/>
    <w:rsid w:val="13F86FA6"/>
    <w:rsid w:val="15AA656E"/>
    <w:rsid w:val="18B27F3E"/>
    <w:rsid w:val="196860AE"/>
    <w:rsid w:val="19A26186"/>
    <w:rsid w:val="1BD3043A"/>
    <w:rsid w:val="1CAC73BA"/>
    <w:rsid w:val="1E22173B"/>
    <w:rsid w:val="21336C34"/>
    <w:rsid w:val="23244DE0"/>
    <w:rsid w:val="26117AE7"/>
    <w:rsid w:val="26673750"/>
    <w:rsid w:val="28052EE7"/>
    <w:rsid w:val="2AD65872"/>
    <w:rsid w:val="2BF15EE5"/>
    <w:rsid w:val="2F99513F"/>
    <w:rsid w:val="303F47CE"/>
    <w:rsid w:val="309A0123"/>
    <w:rsid w:val="31DC3098"/>
    <w:rsid w:val="32DC32D2"/>
    <w:rsid w:val="33442319"/>
    <w:rsid w:val="38F54FC3"/>
    <w:rsid w:val="404A1044"/>
    <w:rsid w:val="41587A00"/>
    <w:rsid w:val="41C017A9"/>
    <w:rsid w:val="43C61FF0"/>
    <w:rsid w:val="43FE7BD7"/>
    <w:rsid w:val="44D254FC"/>
    <w:rsid w:val="457051B2"/>
    <w:rsid w:val="48DD1BB7"/>
    <w:rsid w:val="49C55646"/>
    <w:rsid w:val="52E53585"/>
    <w:rsid w:val="533151AC"/>
    <w:rsid w:val="53C91D1E"/>
    <w:rsid w:val="545C1D7C"/>
    <w:rsid w:val="552F2087"/>
    <w:rsid w:val="57A677AB"/>
    <w:rsid w:val="57C76782"/>
    <w:rsid w:val="5BA1080D"/>
    <w:rsid w:val="5E880BAF"/>
    <w:rsid w:val="62C9668B"/>
    <w:rsid w:val="662875A1"/>
    <w:rsid w:val="679B2FA7"/>
    <w:rsid w:val="67C11603"/>
    <w:rsid w:val="68BF5CF0"/>
    <w:rsid w:val="68D92CCD"/>
    <w:rsid w:val="6A2B7DCF"/>
    <w:rsid w:val="6BE61923"/>
    <w:rsid w:val="71E14565"/>
    <w:rsid w:val="740D36D3"/>
    <w:rsid w:val="78302B99"/>
    <w:rsid w:val="793622EC"/>
    <w:rsid w:val="79D85059"/>
    <w:rsid w:val="79FA08A9"/>
    <w:rsid w:val="7AEA2B3E"/>
    <w:rsid w:val="7C51473F"/>
    <w:rsid w:val="7E9B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next w:val="1"/>
    <w:qFormat/>
    <w:uiPriority w:val="0"/>
    <w:pPr>
      <w:widowControl w:val="0"/>
      <w:spacing w:line="360" w:lineRule="auto"/>
      <w:ind w:left="420" w:leftChars="200" w:firstLine="720" w:firstLineChars="200"/>
      <w:jc w:val="both"/>
    </w:pPr>
    <w:rPr>
      <w:rFonts w:ascii="Times New Roman" w:hAnsi="Times New Roman" w:eastAsia="宋体" w:cs="Times New Roman"/>
      <w:kern w:val="2"/>
      <w:sz w:val="21"/>
      <w:szCs w:val="21"/>
      <w:lang w:val="en-US" w:eastAsia="zh-CN" w:bidi="ar-SA"/>
    </w:rPr>
  </w:style>
  <w:style w:type="paragraph" w:styleId="3">
    <w:name w:val="Body Text"/>
    <w:basedOn w:val="1"/>
    <w:next w:val="4"/>
    <w:link w:val="14"/>
    <w:qFormat/>
    <w:uiPriority w:val="0"/>
    <w:pPr>
      <w:spacing w:after="120" w:afterLines="0" w:afterAutospacing="0"/>
    </w:pPr>
  </w:style>
  <w:style w:type="paragraph" w:customStyle="1" w:styleId="4">
    <w:name w:val="xl27"/>
    <w:next w:val="5"/>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360" w:lineRule="auto"/>
      <w:ind w:left="420" w:leftChars="200" w:firstLine="720" w:firstLineChars="200"/>
      <w:jc w:val="center"/>
    </w:pPr>
    <w:rPr>
      <w:rFonts w:ascii="新宋体-18030" w:hAnsi="新宋体-18030" w:eastAsia="新宋体-18030" w:cs="新宋体-18030"/>
      <w:kern w:val="0"/>
      <w:sz w:val="21"/>
      <w:szCs w:val="21"/>
      <w:lang w:val="en-US" w:eastAsia="zh-CN" w:bidi="ar-SA"/>
    </w:rPr>
  </w:style>
  <w:style w:type="paragraph" w:styleId="5">
    <w:name w:val="Body Text Indent 2"/>
    <w:next w:val="1"/>
    <w:qFormat/>
    <w:uiPriority w:val="0"/>
    <w:pPr>
      <w:widowControl w:val="0"/>
      <w:spacing w:after="120" w:line="480" w:lineRule="auto"/>
      <w:ind w:left="420" w:leftChars="200" w:firstLine="0" w:firstLineChars="0"/>
      <w:jc w:val="both"/>
    </w:pPr>
    <w:rPr>
      <w:rFonts w:ascii="Times New Roman" w:hAnsi="Times New Roman" w:eastAsia="宋体" w:cs="Times New Roman"/>
      <w:kern w:val="2"/>
      <w:sz w:val="21"/>
      <w:szCs w:val="21"/>
      <w:lang w:val="en-US" w:eastAsia="zh-CN" w:bidi="ar-SA"/>
    </w:rPr>
  </w:style>
  <w:style w:type="paragraph" w:styleId="6">
    <w:name w:val="footer"/>
    <w:basedOn w:val="1"/>
    <w:link w:val="15"/>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Calibri" w:hAnsi="Calibri" w:eastAsia="宋体" w:cs="Times New Roman"/>
      <w:b/>
      <w:bCs/>
      <w:caps/>
      <w:kern w:val="2"/>
      <w:sz w:val="20"/>
      <w:szCs w:val="20"/>
      <w:lang w:val="en-US" w:eastAsia="zh-CN" w:bidi="ar"/>
    </w:rPr>
  </w:style>
  <w:style w:type="paragraph" w:customStyle="1" w:styleId="11">
    <w:name w:val="四级条标题"/>
    <w:next w:val="12"/>
    <w:qFormat/>
    <w:uiPriority w:val="0"/>
    <w:pPr>
      <w:widowControl/>
      <w:numPr>
        <w:ilvl w:val="3"/>
        <w:numId w:val="0"/>
      </w:numPr>
      <w:tabs>
        <w:tab w:val="left" w:pos="1260"/>
        <w:tab w:val="left" w:pos="1680"/>
      </w:tabs>
      <w:spacing w:before="0" w:beforeLines="0" w:after="0" w:afterLines="0"/>
      <w:jc w:val="both"/>
      <w:outlineLvl w:val="5"/>
    </w:pPr>
    <w:rPr>
      <w:rFonts w:ascii="黑体" w:hAnsi="Times New Roman" w:eastAsia="黑体" w:cs="Times New Roman"/>
      <w:kern w:val="0"/>
      <w:sz w:val="21"/>
      <w:szCs w:val="20"/>
      <w:lang w:val="en-US" w:eastAsia="zh-CN" w:bidi="ar-SA"/>
    </w:rPr>
  </w:style>
  <w:style w:type="paragraph" w:customStyle="1" w:styleId="12">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3">
    <w:name w:val="0"/>
    <w:basedOn w:val="1"/>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character" w:customStyle="1" w:styleId="14">
    <w:name w:val="正文文本 字符"/>
    <w:basedOn w:val="10"/>
    <w:link w:val="3"/>
    <w:qFormat/>
    <w:uiPriority w:val="0"/>
    <w:rPr>
      <w:kern w:val="2"/>
      <w:sz w:val="21"/>
    </w:rPr>
  </w:style>
  <w:style w:type="character" w:customStyle="1" w:styleId="15">
    <w:name w:val="页脚 字符"/>
    <w:basedOn w:val="10"/>
    <w:link w:val="6"/>
    <w:qFormat/>
    <w:uiPriority w:val="0"/>
    <w:rPr>
      <w:kern w:val="2"/>
      <w:sz w:val="18"/>
    </w:rPr>
  </w:style>
  <w:style w:type="paragraph" w:customStyle="1" w:styleId="16">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paragraph" w:customStyle="1" w:styleId="17">
    <w:name w:val="正文1"/>
    <w:basedOn w:val="1"/>
    <w:next w:val="1"/>
    <w:qFormat/>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paragraph" w:customStyle="1" w:styleId="18">
    <w:name w:val="hj-正文"/>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0"/>
      <w:sz w:val="24"/>
      <w:szCs w:val="20"/>
      <w:lang w:val="en-US" w:eastAsia="zh-CN" w:bidi="ar"/>
    </w:rPr>
  </w:style>
  <w:style w:type="paragraph" w:customStyle="1" w:styleId="19">
    <w:name w:val="三级条标题"/>
    <w:next w:val="12"/>
    <w:qFormat/>
    <w:uiPriority w:val="0"/>
    <w:pPr>
      <w:numPr>
        <w:ilvl w:val="3"/>
        <w:numId w:val="0"/>
      </w:numPr>
      <w:tabs>
        <w:tab w:val="left" w:pos="1260"/>
        <w:tab w:val="left" w:pos="1680"/>
      </w:tabs>
      <w:spacing w:before="0" w:beforeLines="0" w:after="0" w:afterLines="0"/>
      <w:jc w:val="both"/>
      <w:outlineLvl w:val="4"/>
    </w:pPr>
    <w:rPr>
      <w:rFonts w:ascii="黑体" w:hAnsi="Times New Roman" w:eastAsia="黑体" w:cs="Times New Roman"/>
      <w:sz w:val="21"/>
      <w:szCs w:val="22"/>
      <w:lang w:val="en-US" w:eastAsia="zh-CN" w:bidi="ar-SA"/>
    </w:rPr>
  </w:style>
  <w:style w:type="paragraph" w:customStyle="1" w:styleId="20">
    <w:name w:val="二级条标题"/>
    <w:next w:val="12"/>
    <w:qFormat/>
    <w:uiPriority w:val="0"/>
    <w:pPr>
      <w:numPr>
        <w:ilvl w:val="3"/>
        <w:numId w:val="1"/>
      </w:numPr>
      <w:tabs>
        <w:tab w:val="left" w:pos="1260"/>
      </w:tabs>
      <w:spacing w:before="0" w:beforeLines="0" w:after="0" w:afterLines="0"/>
      <w:jc w:val="both"/>
      <w:outlineLvl w:val="3"/>
    </w:pPr>
    <w:rPr>
      <w:rFonts w:ascii="黑体" w:hAnsi="Times New Roman" w:eastAsia="黑体" w:cs="Times New Roman"/>
      <w:sz w:val="21"/>
      <w:szCs w:val="22"/>
      <w:lang w:val="en-US" w:eastAsia="zh-CN" w:bidi="ar-SA"/>
    </w:rPr>
  </w:style>
  <w:style w:type="paragraph" w:customStyle="1" w:styleId="21">
    <w:name w:val="一级条标题"/>
    <w:next w:val="12"/>
    <w:qFormat/>
    <w:uiPriority w:val="0"/>
    <w:pPr>
      <w:numPr>
        <w:ilvl w:val="2"/>
        <w:numId w:val="1"/>
      </w:numPr>
      <w:spacing w:before="0" w:beforeLines="0" w:after="0" w:afterLines="0"/>
      <w:jc w:val="both"/>
      <w:outlineLvl w:val="2"/>
    </w:pPr>
    <w:rPr>
      <w:rFonts w:ascii="黑体" w:hAnsi="Times New Roman" w:eastAsia="黑体" w:cs="Times New Roman"/>
      <w:sz w:val="21"/>
      <w:szCs w:val="22"/>
      <w:lang w:val="en-US" w:eastAsia="zh-CN" w:bidi="ar-SA"/>
    </w:rPr>
  </w:style>
  <w:style w:type="paragraph" w:customStyle="1" w:styleId="22">
    <w:name w:val="章标题"/>
    <w:next w:val="12"/>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2103</Words>
  <Characters>2350</Characters>
  <Lines>0</Lines>
  <Paragraphs>0</Paragraphs>
  <TotalTime>8</TotalTime>
  <ScaleCrop>false</ScaleCrop>
  <LinksUpToDate>false</LinksUpToDate>
  <CharactersWithSpaces>2441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2023-03-02T09:22:00Z</dcterms:created>
  <dc:creator>LENOVO</dc:creator>
  <cp:lastModifiedBy>曾政嘉</cp:lastModifiedBy>
  <cp:lastPrinted>2024-07-31T04:58:52Z</cp:lastPrinted>
  <dcterms:modified xsi:type="dcterms:W3CDTF">2024-07-31T04:59:04Z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BBBD4ADFCA8D4D8FAD1BF6FE9FFCC7AC_13</vt:lpwstr>
  </property>
</Properties>
</file>