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sz w:val="56"/>
          <w:szCs w:val="56"/>
        </w:rPr>
      </w:pPr>
    </w:p>
    <w:p>
      <w:pPr>
        <w:pStyle w:val="12"/>
        <w:jc w:val="center"/>
        <w:rPr>
          <w:sz w:val="56"/>
          <w:szCs w:val="56"/>
        </w:rPr>
      </w:pPr>
    </w:p>
    <w:p>
      <w:pPr>
        <w:pStyle w:val="12"/>
        <w:jc w:val="center"/>
        <w:rPr>
          <w:sz w:val="84"/>
          <w:szCs w:val="84"/>
        </w:rPr>
      </w:pPr>
    </w:p>
    <w:p>
      <w:pPr>
        <w:pStyle w:val="12"/>
        <w:jc w:val="center"/>
        <w:rPr>
          <w:sz w:val="84"/>
          <w:szCs w:val="84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202</w:t>
      </w: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年度</w:t>
      </w: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岳阳市中心医院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</w:t>
      </w: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56"/>
          <w:szCs w:val="56"/>
        </w:rPr>
      </w:pPr>
    </w:p>
    <w:p>
      <w:pPr>
        <w:pStyle w:val="12"/>
        <w:jc w:val="center"/>
        <w:rPr>
          <w:sz w:val="56"/>
          <w:szCs w:val="56"/>
        </w:rPr>
      </w:pPr>
    </w:p>
    <w:p>
      <w:pPr>
        <w:pStyle w:val="12"/>
        <w:jc w:val="center"/>
        <w:rPr>
          <w:sz w:val="56"/>
          <w:szCs w:val="56"/>
        </w:rPr>
      </w:pPr>
    </w:p>
    <w:p>
      <w:pPr>
        <w:pStyle w:val="12"/>
        <w:jc w:val="center"/>
        <w:rPr>
          <w:sz w:val="56"/>
          <w:szCs w:val="56"/>
        </w:rPr>
      </w:pPr>
    </w:p>
    <w:p>
      <w:pPr>
        <w:pStyle w:val="12"/>
        <w:jc w:val="center"/>
        <w:rPr>
          <w:sz w:val="32"/>
          <w:szCs w:val="32"/>
        </w:rPr>
      </w:pPr>
    </w:p>
    <w:p>
      <w:pPr>
        <w:pStyle w:val="12"/>
        <w:jc w:val="center"/>
        <w:rPr>
          <w:sz w:val="32"/>
          <w:szCs w:val="32"/>
        </w:rPr>
      </w:pPr>
    </w:p>
    <w:p>
      <w:pPr>
        <w:pStyle w:val="12"/>
        <w:jc w:val="center"/>
        <w:rPr>
          <w:sz w:val="32"/>
          <w:szCs w:val="32"/>
        </w:rPr>
      </w:pPr>
    </w:p>
    <w:p>
      <w:pPr>
        <w:pStyle w:val="12"/>
        <w:jc w:val="center"/>
        <w:rPr>
          <w:sz w:val="32"/>
          <w:szCs w:val="32"/>
        </w:rPr>
      </w:pPr>
    </w:p>
    <w:p>
      <w:pPr>
        <w:pStyle w:val="12"/>
        <w:jc w:val="center"/>
        <w:rPr>
          <w:sz w:val="32"/>
          <w:szCs w:val="32"/>
        </w:rPr>
      </w:pPr>
    </w:p>
    <w:p>
      <w:pPr>
        <w:pStyle w:val="12"/>
        <w:spacing w:line="540" w:lineRule="exact"/>
        <w:jc w:val="center"/>
        <w:rPr>
          <w:sz w:val="56"/>
          <w:szCs w:val="56"/>
        </w:rPr>
      </w:pPr>
    </w:p>
    <w:p>
      <w:pPr>
        <w:pStyle w:val="12"/>
        <w:spacing w:line="500" w:lineRule="exact"/>
        <w:jc w:val="both"/>
        <w:rPr>
          <w:b/>
          <w:sz w:val="36"/>
          <w:szCs w:val="28"/>
        </w:rPr>
      </w:pPr>
    </w:p>
    <w:p>
      <w:pPr>
        <w:pStyle w:val="12"/>
        <w:spacing w:line="50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12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第一部分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val="en-US" w:eastAsia="zh-CN"/>
        </w:rPr>
        <w:t>岳阳市中心医院单位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概况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一、部门职责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二、机构设置</w:t>
      </w:r>
    </w:p>
    <w:p>
      <w:pPr>
        <w:pStyle w:val="12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第二部分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三、支出决算表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四、财政拨款收入支出决算总表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五、一般公共预算财政拨款支出决算表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六、一般公共预算财政拨款基本支出决算明细表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七、政府性基金预算财政拨款收入支出决算表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八、国有资本经营预算财政拨款支出决算表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九、财政拨款“三公”经费支出决算表</w:t>
      </w:r>
    </w:p>
    <w:p>
      <w:pPr>
        <w:pStyle w:val="12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第三部分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部门决算情况说明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一、收入支出决算总体情况说明</w:t>
      </w:r>
    </w:p>
    <w:p>
      <w:pPr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七、政府性基金预算收入支出决算情况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八、</w:t>
      </w:r>
      <w:r>
        <w:rPr>
          <w:rFonts w:hint="eastAsia" w:ascii="仿宋_GB2312" w:hAnsi="仿宋_GB2312" w:eastAsia="仿宋_GB2312" w:cs="仿宋_GB2312"/>
          <w:sz w:val="28"/>
          <w:szCs w:val="28"/>
        </w:rPr>
        <w:t>国有资本经营预算财政拨款支出决算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九、财政拨款三公经费支出决算情况说明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十、关于机关运行经费支出说明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十一、一般性支出情况说明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十二、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关于政府采购支出说明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十三、关于国有资产占用情况说明</w:t>
      </w:r>
    </w:p>
    <w:p>
      <w:pPr>
        <w:pStyle w:val="12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十四、</w:t>
      </w:r>
      <w:r>
        <w:rPr>
          <w:rFonts w:hint="eastAsia" w:ascii="仿宋_GB2312" w:hAnsi="仿宋_GB2312" w:eastAsia="仿宋_GB2312" w:cs="仿宋_GB2312"/>
          <w:sz w:val="28"/>
          <w:szCs w:val="28"/>
        </w:rPr>
        <w:t>关于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年度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预算</w:t>
      </w:r>
      <w:r>
        <w:rPr>
          <w:rFonts w:hint="eastAsia" w:ascii="仿宋_GB2312" w:hAnsi="仿宋_GB2312" w:eastAsia="仿宋_GB2312" w:cs="仿宋_GB2312"/>
          <w:sz w:val="28"/>
          <w:szCs w:val="28"/>
        </w:rPr>
        <w:t>绩效情况的说明</w:t>
      </w:r>
    </w:p>
    <w:p>
      <w:pPr>
        <w:pStyle w:val="12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第四部分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名词解释</w:t>
      </w:r>
    </w:p>
    <w:p>
      <w:pPr>
        <w:pStyle w:val="12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五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附件</w:t>
      </w: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 xml:space="preserve">第一部分 </w:t>
      </w: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岳阳市中心医院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单位概况</w:t>
      </w:r>
    </w:p>
    <w:p>
      <w:pPr>
        <w:pStyle w:val="7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4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4"/>
        <w:ind w:left="0" w:leftChars="0" w:firstLine="0" w:firstLineChars="0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13"/>
        <w:numPr>
          <w:ilvl w:val="0"/>
          <w:numId w:val="1"/>
        </w:numPr>
        <w:ind w:firstLineChars="0"/>
        <w:jc w:val="left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部门职责</w:t>
      </w:r>
    </w:p>
    <w:p>
      <w:pPr>
        <w:keepNext/>
        <w:keepLines/>
        <w:shd w:val="clear" w:color="auto" w:fill="FFFFFF"/>
        <w:spacing w:beforeLines="0" w:afterLines="0"/>
        <w:ind w:firstLine="640"/>
        <w:jc w:val="lef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岳阳市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中心</w:t>
      </w:r>
      <w:r>
        <w:rPr>
          <w:rFonts w:hint="eastAsia" w:ascii="宋体" w:hAnsi="宋体" w:eastAsia="宋体" w:cs="宋体"/>
          <w:sz w:val="32"/>
          <w:szCs w:val="32"/>
        </w:rPr>
        <w:t>医院始建于1964年</w:t>
      </w:r>
      <w:r>
        <w:rPr>
          <w:rFonts w:hint="eastAsia" w:ascii="宋体" w:hAnsi="宋体" w:eastAsia="宋体" w:cs="宋体"/>
          <w:bCs/>
          <w:sz w:val="32"/>
          <w:szCs w:val="32"/>
        </w:rPr>
        <w:t>，是</w:t>
      </w:r>
      <w:r>
        <w:rPr>
          <w:rFonts w:hint="eastAsia" w:ascii="宋体" w:hAnsi="宋体" w:eastAsia="宋体" w:cs="宋体"/>
          <w:sz w:val="32"/>
          <w:szCs w:val="32"/>
        </w:rPr>
        <w:t>一所集医疗、教学、科研、预防、保健、康复于一体的三级甲等综合性医院。医院分设院本部、东院和南院，编制病床共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1929张</w:t>
      </w:r>
      <w:r>
        <w:rPr>
          <w:rFonts w:hint="eastAsia" w:ascii="宋体" w:hAnsi="宋体" w:eastAsia="宋体" w:cs="宋体"/>
          <w:sz w:val="32"/>
          <w:szCs w:val="32"/>
        </w:rPr>
        <w:t>全院共开设59个诊疗科目，其中临床类47个，医技类12个。开放病区62个，其中院本部3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sz w:val="32"/>
          <w:szCs w:val="32"/>
        </w:rPr>
        <w:t>个、东院1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sz w:val="32"/>
          <w:szCs w:val="32"/>
        </w:rPr>
        <w:t>个、南院1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</w:rPr>
        <w:t>个。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医院是湖南省区域医疗中心、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全国文明单位、全国卫生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健康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系统先进集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lang w:eastAsia="zh-CN"/>
        </w:rPr>
        <w:t>体、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lang w:val="en-US" w:eastAsia="zh-CN"/>
        </w:rPr>
        <w:t>湖南省高质量发展示范性医院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lang w:eastAsia="zh-CN"/>
        </w:rPr>
        <w:t>，拥有国家级高级卒中中心、胸痛中心、房颤中心、心衰中心，是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国家住院医师规范化培训基地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国家药物临床试验机构、国际紧急救援网络医院、全国直升机医疗救援基地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国家卫健委脑卒中筛查与防治基地、全国骨膜牵张术培训基地、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全国上消化道出血快速急救示范基地、全国健康管理示范基地、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国家标准化心脏康复中心、国家乳腺癌规范诊疗质量控制中心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，是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湖南省全科医生转岗培训基地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、中华医学会临床药师学员培训基地、中国康复医学会疼痛康复专科培训基地、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中南大学湘雅医学院临床教学基地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2021年8月，湖南省政府明确支持将岳阳市中心医院建设成湘鄂赣省际医疗中心。</w:t>
      </w:r>
    </w:p>
    <w:p>
      <w:pPr>
        <w:widowControl/>
        <w:spacing w:line="600" w:lineRule="exact"/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二、机构设置及决算单位构成</w:t>
      </w:r>
    </w:p>
    <w:p>
      <w:pPr>
        <w:widowControl/>
        <w:spacing w:line="600" w:lineRule="exact"/>
        <w:rPr>
          <w:rFonts w:hint="eastAsia" w:ascii="宋体" w:hAnsi="宋体" w:eastAsia="宋体" w:cs="宋体"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Cs/>
          <w:kern w:val="0"/>
          <w:sz w:val="32"/>
          <w:szCs w:val="32"/>
        </w:rPr>
        <w:t>（一）内设机构设置。</w:t>
      </w:r>
    </w:p>
    <w:p>
      <w:pPr>
        <w:widowControl/>
        <w:spacing w:line="600" w:lineRule="exact"/>
        <w:rPr>
          <w:rFonts w:hint="eastAsia" w:ascii="宋体" w:hAnsi="宋体" w:eastAsia="宋体" w:cs="宋体"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Cs/>
          <w:kern w:val="0"/>
          <w:sz w:val="32"/>
          <w:szCs w:val="32"/>
          <w:lang w:val="en-US" w:eastAsia="zh-CN"/>
        </w:rPr>
        <w:t xml:space="preserve">   岳阳市中心医院</w:t>
      </w:r>
      <w:r>
        <w:rPr>
          <w:rFonts w:hint="eastAsia" w:ascii="宋体" w:hAnsi="宋体" w:eastAsia="宋体" w:cs="宋体"/>
          <w:bCs/>
          <w:kern w:val="0"/>
          <w:sz w:val="32"/>
          <w:szCs w:val="32"/>
        </w:rPr>
        <w:t>单位内设机构包括</w:t>
      </w:r>
      <w:r>
        <w:rPr>
          <w:rFonts w:hint="eastAsia" w:ascii="宋体" w:hAnsi="宋体" w:eastAsia="宋体" w:cs="宋体"/>
          <w:bCs/>
          <w:kern w:val="0"/>
          <w:sz w:val="32"/>
          <w:szCs w:val="32"/>
          <w:lang w:eastAsia="zh-CN"/>
        </w:rPr>
        <w:t>：</w:t>
      </w:r>
      <w:r>
        <w:rPr>
          <w:rFonts w:hint="eastAsia" w:ascii="宋体" w:hAnsi="宋体" w:eastAsia="宋体" w:cs="宋体"/>
          <w:sz w:val="32"/>
          <w:szCs w:val="32"/>
        </w:rPr>
        <w:t>院本部、东院和南院，编制病床共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1929</w:t>
      </w:r>
      <w:r>
        <w:rPr>
          <w:rFonts w:hint="eastAsia" w:ascii="宋体" w:hAnsi="宋体" w:eastAsia="宋体" w:cs="宋体"/>
          <w:sz w:val="32"/>
          <w:szCs w:val="32"/>
        </w:rPr>
        <w:t>张。全院共开设59个诊疗科目，其中临床类47个，医技类12个。开放病区62个，其中院本部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31</w:t>
      </w:r>
      <w:r>
        <w:rPr>
          <w:rFonts w:hint="eastAsia" w:ascii="宋体" w:hAnsi="宋体" w:eastAsia="宋体" w:cs="宋体"/>
          <w:sz w:val="32"/>
          <w:szCs w:val="32"/>
        </w:rPr>
        <w:t>个、东院1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sz w:val="32"/>
          <w:szCs w:val="32"/>
        </w:rPr>
        <w:t>个、南院1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</w:rPr>
        <w:t>个。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Cs/>
          <w:kern w:val="0"/>
          <w:sz w:val="32"/>
          <w:szCs w:val="32"/>
        </w:rPr>
        <w:t>决算单位构成。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32"/>
          <w:szCs w:val="32"/>
          <w:highlight w:val="whit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olor w:val="000000"/>
          <w:sz w:val="32"/>
          <w:szCs w:val="32"/>
          <w:highlight w:val="white"/>
          <w:lang w:eastAsia="zh-CN"/>
        </w:rPr>
        <w:t>本单位无独立核算的下属单位，</w:t>
      </w:r>
      <w:r>
        <w:rPr>
          <w:rFonts w:hint="eastAsia" w:ascii="宋体" w:hAnsi="宋体" w:eastAsia="宋体" w:cs="宋体"/>
          <w:i w:val="0"/>
          <w:iCs w:val="0"/>
          <w:color w:val="000000"/>
          <w:sz w:val="32"/>
          <w:szCs w:val="32"/>
          <w:highlight w:val="white"/>
          <w:lang w:val="en-US" w:eastAsia="zh-CN"/>
        </w:rPr>
        <w:t>2023年度部门决算汇总公开单位仅包括岳阳市中心医院单位本级</w:t>
      </w:r>
      <w:r>
        <w:rPr>
          <w:rFonts w:hint="eastAsia" w:ascii="宋体" w:hAnsi="宋体" w:eastAsia="宋体" w:cs="宋体"/>
          <w:i/>
          <w:iCs/>
          <w:color w:val="000000"/>
          <w:sz w:val="32"/>
          <w:szCs w:val="32"/>
          <w:highlight w:val="white"/>
        </w:rPr>
        <w:t>。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pStyle w:val="7"/>
        <w:rPr>
          <w:rFonts w:hint="eastAsia" w:ascii="宋体" w:hAnsi="宋体" w:eastAsia="宋体" w:cs="宋体"/>
        </w:rPr>
      </w:pPr>
    </w:p>
    <w:p>
      <w:pPr>
        <w:pStyle w:val="4"/>
        <w:rPr>
          <w:rFonts w:hint="eastAsia" w:ascii="宋体" w:hAnsi="宋体" w:eastAsia="宋体" w:cs="宋体"/>
        </w:rPr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第二部分</w:t>
      </w: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部门决算表</w:t>
      </w:r>
    </w:p>
    <w:p>
      <w:pPr>
        <w:pStyle w:val="12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  <w:t>（见附件）</w:t>
      </w:r>
    </w:p>
    <w:p>
      <w:pPr>
        <w:pStyle w:val="12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2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2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2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2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2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2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2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第三部分</w:t>
      </w: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202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年度部门决算情况说明</w:t>
      </w: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pStyle w:val="12"/>
        <w:jc w:val="both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说明：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由于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决算编制时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数据</w:t>
      </w:r>
      <w:r>
        <w:rPr>
          <w:rFonts w:hint="eastAsia" w:ascii="仿宋_GB2312" w:hAnsi="仿宋_GB2312" w:eastAsia="仿宋_GB2312" w:cs="仿宋_GB2312"/>
          <w:sz w:val="32"/>
          <w:szCs w:val="32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至“金额单位：元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本套部门决算文字说明</w:t>
      </w:r>
      <w:r>
        <w:rPr>
          <w:rFonts w:hint="eastAsia" w:ascii="仿宋_GB2312" w:hAnsi="仿宋_GB2312" w:eastAsia="仿宋_GB2312" w:cs="仿宋_GB2312"/>
          <w:sz w:val="32"/>
          <w:szCs w:val="32"/>
        </w:rPr>
        <w:t>和公开表格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数据</w:t>
      </w:r>
      <w:r>
        <w:rPr>
          <w:rFonts w:hint="eastAsia" w:ascii="仿宋_GB2312" w:hAnsi="仿宋_GB2312" w:eastAsia="仿宋_GB2312" w:cs="仿宋_GB2312"/>
          <w:sz w:val="32"/>
          <w:szCs w:val="32"/>
        </w:rPr>
        <w:t>取数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转换为</w:t>
      </w:r>
      <w:r>
        <w:rPr>
          <w:rFonts w:hint="eastAsia" w:ascii="仿宋_GB2312" w:hAnsi="仿宋_GB2312" w:eastAsia="仿宋_GB2312" w:cs="仿宋_GB2312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金额单位：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万元”，可能导致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以下文字说明中的各项数据取数以及公开</w:t>
      </w:r>
      <w:r>
        <w:rPr>
          <w:rFonts w:hint="eastAsia" w:ascii="仿宋_GB2312" w:hAnsi="仿宋_GB2312" w:eastAsia="仿宋_GB2312" w:cs="仿宋_GB2312"/>
          <w:sz w:val="32"/>
          <w:szCs w:val="32"/>
        </w:rPr>
        <w:t>表格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中的各项数据取数之间存在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0.01的尾数差异。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2、以下文字说明中，部分科目由于预算数为0，无法计算完成年初预算的百分比，故未描述“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完成年初预算的XX%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”。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一、收入支出决算总体情况说明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年度收、支总计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217763.4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万元。与上年相比，增加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21311.62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10.85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金鹗山院区合并岳阳市中心医院统一核算。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二、收入决算情况说明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年度收入合计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194801.91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万元，其中：财政拨款收入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18027.82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9.28</w:t>
      </w:r>
      <w:r>
        <w:rPr>
          <w:rFonts w:hint="eastAsia" w:ascii="仿宋_GB2312" w:hAnsi="仿宋_GB2312" w:eastAsia="仿宋_GB2312" w:cs="仿宋_GB2312"/>
          <w:sz w:val="32"/>
          <w:szCs w:val="32"/>
        </w:rPr>
        <w:t>%；上级补助收入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%；事业收入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175914.71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90.3</w:t>
      </w:r>
      <w:r>
        <w:rPr>
          <w:rFonts w:hint="eastAsia" w:ascii="仿宋_GB2312" w:hAnsi="仿宋_GB2312" w:eastAsia="仿宋_GB2312" w:cs="仿宋_GB2312"/>
          <w:sz w:val="32"/>
          <w:szCs w:val="32"/>
        </w:rPr>
        <w:t>%；经营收入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%；附属单位上缴收入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%；其他收入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859.37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0.44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三、支出决算情况说明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年度支出合计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189513.64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175296.46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92.5</w:t>
      </w:r>
      <w:r>
        <w:rPr>
          <w:rFonts w:hint="eastAsia" w:ascii="仿宋_GB2312" w:hAnsi="仿宋_GB2312" w:eastAsia="仿宋_GB2312" w:cs="仿宋_GB2312"/>
          <w:sz w:val="32"/>
          <w:szCs w:val="32"/>
        </w:rPr>
        <w:t>%；项目支出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14217.18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7.5</w:t>
      </w:r>
      <w:r>
        <w:rPr>
          <w:rFonts w:hint="eastAsia" w:ascii="仿宋_GB2312" w:hAnsi="仿宋_GB2312" w:eastAsia="仿宋_GB2312" w:cs="仿宋_GB2312"/>
          <w:sz w:val="32"/>
          <w:szCs w:val="32"/>
        </w:rPr>
        <w:t>%；上缴上级支出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%；经营支出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%；对附属单位补助支出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四、财政拨款收入支出决算总体情况说明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年度财政拨款收、支总计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40989.32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万元，与上年相比，增加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5807.18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万元,增长（减少）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16.51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岳阳市中心医院一期项目（肿瘤中心）年初中央下拨专项债20000万元，中央补助10000万元。用于中心医院一期项目建设的结转结余及2023年中央补助10600万元用于一期项目建设。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五、一般公共预算财政拨款支出决算情况说明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（一）一般公共预算财政拨款支出决算总体情况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15281.79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万元，占本年支出合计的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8.06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%，与上年相比，财政拨款支出增加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3061.14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25.05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公共卫生支出增加。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（二）一般公共预算财政拨款支出决算结构情况</w:t>
      </w:r>
    </w:p>
    <w:p>
      <w:pPr>
        <w:pStyle w:val="12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15281.79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万元，主要用于以下方面：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科学技术支出323.47万元，占2.12%；社会保障和就业支出21.66万元，占0.14%；卫生健康</w:t>
      </w:r>
      <w:r>
        <w:rPr>
          <w:rFonts w:hint="eastAsia" w:ascii="Times New Roman" w:hAnsi="Times New Roman" w:eastAsia="仿宋_GB2312"/>
          <w:sz w:val="32"/>
          <w:szCs w:val="32"/>
        </w:rPr>
        <w:t>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14935.67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97.74</w:t>
      </w:r>
      <w:r>
        <w:rPr>
          <w:rFonts w:hint="eastAsia" w:ascii="Times New Roman" w:hAnsi="Times New Roman" w:eastAsia="仿宋_GB2312"/>
          <w:sz w:val="32"/>
          <w:szCs w:val="32"/>
        </w:rPr>
        <w:t>%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城乡社区支出1万元，占0.01%。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（三）一般公共预算财政拨款支出决算具体情况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年度财政拨款支出年初预算数为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15295.03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15281.79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99.91</w:t>
      </w:r>
      <w:r>
        <w:rPr>
          <w:rFonts w:hint="eastAsia" w:ascii="仿宋_GB2312" w:hAnsi="仿宋_GB2312" w:eastAsia="仿宋_GB2312" w:cs="仿宋_GB2312"/>
          <w:sz w:val="32"/>
          <w:szCs w:val="32"/>
        </w:rPr>
        <w:t>%，其中：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1、一般公共服务（类）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科学技术支出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基础研究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8.92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8.92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的主要原因是：合理开支。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2、一般公共服务（类）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科学技术支出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技术研究与开发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的主要原因是：合理开支。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、一般公共服务（类）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科学技术支出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其他科学技术支出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249.55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99.85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小于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的主要原因是：用于其他公立医院支出项目减少。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、一般公共服务（类）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社会保障和就业支出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流浪乞讨人员救助支出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的主要原因是：合理开支。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、一般公共服务（类）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社会保障和就业支出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其他社会保障和就业支出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的主要原因是：合理开支。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、一般公共服务（类）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卫生健康支出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公立医院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12214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12212.88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99.99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小于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的主要原因是：用于其他公立医院支出项目减少。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、一般公共服务（类）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卫生健康支出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公共卫生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759.7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759.7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决决算数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的主要原因是：合理开支。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、一般公共服务（类）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卫生健康支出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中医药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的主要原因是：合理开支。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、一般公共服务（类）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卫生健康支出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计划生育事务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的主要原因是：合理开支。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、一般公共服务（类）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卫生健康支出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其他卫生健康支出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1932.45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1919.09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99.31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小于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的主要原因是：用于其他公立医院支出项目减少。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、一般公共服务（类）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城乡社区支出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其他城乡社区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的主要原因是：合理开支。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六、一般公共预算财政拨款基本支出决算情况说明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1064.62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717.03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万元，占基本支出的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67.35</w:t>
      </w:r>
      <w:r>
        <w:rPr>
          <w:rFonts w:hint="eastAsia" w:ascii="仿宋_GB2312" w:hAnsi="仿宋_GB2312" w:eastAsia="仿宋_GB2312" w:cs="仿宋_GB2312"/>
          <w:sz w:val="32"/>
          <w:szCs w:val="32"/>
        </w:rPr>
        <w:t>%,主要包括基本工资、津贴补贴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347.59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万元，占基本支出的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32.65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日常运营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七、政府性基金预算收入支出决算情况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i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2023年度政府性基金预算财政拨款收入0万元；年初结转和结余0万元；支出0万元，其中基本支出0万元，项目支出0万元；年末结转和结余0万元。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  <w:t>八、国有资本经营预算财政拨款支出决算情况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/>
          <w:color w:val="FF0000"/>
          <w:kern w:val="0"/>
          <w:sz w:val="32"/>
          <w:szCs w:val="32"/>
          <w:lang w:val="en-US" w:eastAsia="zh-CN" w:bidi="ar-SA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2023年度国有资本经营预算财政拨款收入0万元；年初结转和结余0万；支出0万元，其中：基本支出0万元，项目支出0万元；年末结转和结余0万元。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hint="eastAsia" w:hAnsi="黑体" w:cs="黑体"/>
          <w:b w:val="0"/>
          <w:bCs/>
          <w:sz w:val="32"/>
          <w:szCs w:val="32"/>
          <w:lang w:eastAsia="zh-CN"/>
        </w:rPr>
        <w:t>九、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财政拨款三公经费支出决算情况说明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（一）“三公”经费财政拨款支出决算总体情况说明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“三公”经费财政拨款支出预算为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决算数等于预算数。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因公出国（境）费支出预算为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决算数等于预算数，主要原因是我单位严格按预算执行决算；与上年一致，无增减变动，主要原因</w:t>
      </w:r>
      <w:r>
        <w:rPr>
          <w:rFonts w:hint="eastAsia" w:ascii="Times New Roman" w:hAnsi="Times New Roman" w:eastAsia="仿宋_GB2312"/>
          <w:sz w:val="32"/>
          <w:szCs w:val="32"/>
        </w:rPr>
        <w:t>是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未安排因公出国（境）活动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公务接待费支出预算为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决算数等于预算数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主要原因是严格执行中央八项规定；与上年一致</w:t>
      </w:r>
      <w:r>
        <w:rPr>
          <w:rFonts w:hint="eastAsia" w:ascii="Times New Roman" w:hAnsi="Times New Roman" w:eastAsia="仿宋_GB2312"/>
          <w:sz w:val="32"/>
          <w:szCs w:val="32"/>
        </w:rPr>
        <w:t>,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无增减变动，主要原因是按有关政策厉行节约，严控公务接待支出。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公务用车购置费支出预算为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决算数等于预算数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主要原因是我单位严格按预算执行决算；与上年一致，无增减变动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主要原因是两年均无公务用车需要运行维护。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决算数等于预算数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主要原因是我单位严格按预算执行决算；与上年一致，无增减变动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主要原因是两年均无公务用车需要运行维护。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（二）“三公”经费财政拨款支出决算具体情况说明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年度“三公”经费财政拨款支出决算中，公务接待费支出决算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%,因公出国（境）费支出决算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%,公务用车购置费及运行维护费支出决算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%。其中：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b/>
          <w:bCs/>
          <w:i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因公出国（境）费支出决算为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万元，全年安排因公出国（境）团组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个，累计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人次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我单位2023年度无因公出国（境）费支出。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2、公务接待费支出决算为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万元，全年共接待来访团组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个、来宾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人次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我单位2023年度无公务接待费支出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b/>
          <w:bCs/>
          <w:i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3、公务用车购置费及运行维护费支出决算为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万元，其中：公务用车购置费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当年没有购置公务用车。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万元，截止202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年12月31日，我单位开支财政拨款的公务用车保有量为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32"/>
          <w:lang w:eastAsia="zh-CN"/>
        </w:rPr>
        <w:t>十</w:t>
      </w:r>
      <w:r>
        <w:rPr>
          <w:rFonts w:hint="eastAsia" w:ascii="Times New Roman" w:hAnsi="Times New Roman" w:eastAsia="仿宋_GB2312"/>
          <w:b/>
          <w:color w:val="auto"/>
          <w:sz w:val="32"/>
          <w:szCs w:val="32"/>
        </w:rPr>
        <w:t>、关于机关运行经费支出说明</w:t>
      </w:r>
    </w:p>
    <w:p>
      <w:pPr>
        <w:pStyle w:val="12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本部门202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年度机关运行经费支出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本级和所属单位均为事业单位，按照机关运行经费的口径，本年度机关运行经费为0。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、一般性支出情况说明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年度，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本单位无会议费的预算和支出决算数。</w:t>
      </w:r>
    </w:p>
    <w:p>
      <w:pPr>
        <w:widowControl w:val="0"/>
        <w:autoSpaceDE w:val="0"/>
        <w:autoSpaceDN w:val="0"/>
        <w:adjustRightInd w:val="0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培训费年初预算133万元，支出决算为130.59万元，完成年初预算的98.19%。用于开展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医疗新技术进修学习</w:t>
      </w:r>
      <w:r>
        <w:rPr>
          <w:rFonts w:hint="eastAsia" w:ascii="Times New Roman" w:hAnsi="Times New Roman" w:eastAsia="仿宋_GB2312"/>
          <w:sz w:val="32"/>
          <w:szCs w:val="32"/>
        </w:rPr>
        <w:t>培训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，人数245人，内容为进修学习培训。</w:t>
      </w:r>
    </w:p>
    <w:p>
      <w:pPr>
        <w:widowControl w:val="0"/>
        <w:autoSpaceDE w:val="0"/>
        <w:autoSpaceDN w:val="0"/>
        <w:adjustRightInd w:val="0"/>
        <w:ind w:firstLine="640" w:firstLineChars="200"/>
        <w:rPr>
          <w:rFonts w:hint="eastAsia" w:ascii="仿宋_GB2312" w:hAnsi="仿宋_GB2312" w:eastAsia="仿宋_GB2312" w:cs="仿宋_GB2312"/>
          <w:b/>
          <w:bCs/>
          <w:i/>
          <w:color w:val="FF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举办节庆、晚会、论坛、赛事活动年初预算0万元，支出决算为0万元，完成年初预算的0%，主要是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本单位无举办节庆、晚会、论坛、赛事等活动的预算和支出决算数。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、关于政府采购支出说明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i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本部门202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年度政府采购支出总额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48553.5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万元，其中：政府采购货物支出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24553.63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万元、政府采购工程支出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17940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万元、政府采购服务支出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2735.97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万元。授予中小企业合同金额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由于预算数为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0，故无法计算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占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授予中小企业合同金额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比重）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，其中：授予小微企业合同金额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（由于预算数为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0，故无法计算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占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授予中小企业合同金额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比重）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。货物采购授予中小企业合同金额占货物支出金额的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比重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，工程采购授予中小企业合同金额占工程支出金额的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比重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，服务采购授予中小企业合同金额占服务支出金额的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比重，由于各项预算数为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0，故无法计算各项占比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、关于国有资产占用情况说明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截至202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年12月31日，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部门（单位）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，副部（省）级及以上领导用车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机要通信用车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辆、应急保障用车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辆、执法执勤用车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辆、特种专业技术用车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离退休干部服务用车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辆、其他用车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辆，单位价值100万元以上设备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（不含车辆）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台（套）。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、关于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年度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预算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绩效情况的说明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（一）绩效管理工作开展情况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根据预算绩效管理要求，我们组织对2023年度整体支出和项目资金实施了全覆盖性的绩效评价，撰写了绩效自评报告。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组织开展整体支出绩效评价，涉及一般公共预算支出15281.79万元，政府性基金预算支出0万元，国有资本经营预算支出0万元。从评价情况来看，整体支出绩效评价中，2023年整体支出189513.64万元，其中：基本支出175296.46万元，项目支出14217.18万元，本单位整体支出绩效自评综合评分100分，评价结果等次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组织对一般公共预算项目支出全面开展绩效自评，项目1个，共涉及资金120万元，占一般公共预算项目支出总额的100%。组织对政府性基金预算项目支出开展绩效自评，项目0个，共涉及资金0万元，占政府性基金预算项目支出总额的0%。组织对国有资本经营预算项目支出开展绩效自评，项目0个，共涉及资金0万元，占国有资本经营预算项目支出总额的0%。从评价情况来看，项目绩效自评得分100分，评价结果等次为优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部门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（单位）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整体支出绩效情况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根据年初设定的绩效目标，绩效自评得分为100分。全年预算数为998万元，执行数为998万元，完成预算的100%。绩效目标完成情况：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一是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</w:rPr>
        <w:t>定额补助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  <w:lang w:val="en-US" w:eastAsia="zh-CN"/>
        </w:rPr>
        <w:t>642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</w:rPr>
        <w:t>万元主要用于医院正常运行的医务人员工资补贴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；二是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</w:rPr>
        <w:t>艾滋病专项资金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120万，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</w:rPr>
        <w:t>全部用于艾滋病人的救治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。三是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</w:rPr>
        <w:t>非税收入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  <w:lang w:val="en-US" w:eastAsia="zh-CN"/>
        </w:rPr>
        <w:t>236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</w:rPr>
        <w:t>万元为学生的培训费及停车收费收入，主要用于改善学生的住宿环境及停车场的维修与管理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发现的主要问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题及原因：一是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  <w:t>加强医疗质量管理，强化学科建设及技术攻关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是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  <w:t>防范恶性医疗纠纷，杜绝重大医疗事故，确保社会对医院工作的满意率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。下一步改进措施：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  <w:t>真正成为一座学科特色鲜明、技术先进、服务规范、管理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科学、患者信任度高、员工幸福感强的区域医疗中心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存在的问题及原因分析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预算绩效管理开展情况、绩效目标和绩效评价报告等，已在市政府部门财政预决算公开平台上向社会公开，详见附件。</w:t>
      </w:r>
    </w:p>
    <w:p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eastAsia" w:ascii="楷体" w:hAnsi="楷体" w:eastAsia="楷体" w:cs="楷体"/>
          <w:b/>
          <w:bCs/>
          <w:i w:val="0"/>
          <w:iCs w:val="0"/>
          <w:color w:val="FF0000"/>
          <w:kern w:val="0"/>
          <w:sz w:val="36"/>
          <w:szCs w:val="36"/>
          <w:lang w:val="en-US" w:eastAsia="zh-CN"/>
        </w:rPr>
      </w:pPr>
    </w:p>
    <w:p>
      <w:pPr>
        <w:pStyle w:val="12"/>
        <w:jc w:val="both"/>
        <w:rPr>
          <w:sz w:val="72"/>
          <w:szCs w:val="72"/>
        </w:rPr>
      </w:pPr>
    </w:p>
    <w:p>
      <w:pPr>
        <w:pStyle w:val="12"/>
        <w:jc w:val="center"/>
        <w:rPr>
          <w:sz w:val="72"/>
          <w:szCs w:val="72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第四部分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  <w:t>名词解释</w:t>
      </w:r>
    </w:p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7"/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二、机关运行经费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，指为保障行政单位（包括参照公务员法管理的事业单位）运行用于购买货物和服务的各项资金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，包括办公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费、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印刷费、邮电费、差旅费、会议费、日常维修费、专用材料及一般设备购置费、办公用房水电费、办公用房取暖费、办公用房物业管理费、公务用车运行维护费以及其他费用。</w:t>
      </w: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</w:t>
      </w:r>
      <w:r>
        <w:rPr>
          <w:rFonts w:hint="eastAsia" w:ascii="方正小标宋_GBK" w:hAnsi="方正小标宋_GBK" w:eastAsia="方正小标宋_GBK" w:cs="方正小标宋_GBK"/>
          <w:sz w:val="72"/>
          <w:szCs w:val="72"/>
          <w:lang w:eastAsia="zh-CN"/>
        </w:rPr>
        <w:t>五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部分</w:t>
      </w:r>
    </w:p>
    <w:p>
      <w:pPr>
        <w:pStyle w:val="12"/>
        <w:jc w:val="both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</w:p>
    <w:p>
      <w:pPr>
        <w:pStyle w:val="12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附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件</w:t>
      </w:r>
    </w:p>
    <w:p>
      <w:pPr>
        <w:ind w:firstLine="640" w:firstLineChars="200"/>
        <w:jc w:val="left"/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1、2023年部门决算公开表格</w:t>
      </w:r>
    </w:p>
    <w:p>
      <w:pPr>
        <w:ind w:firstLine="640" w:firstLineChars="200"/>
        <w:jc w:val="left"/>
        <w:rPr>
          <w:rFonts w:ascii="宋体" w:hAnsi="宋体" w:eastAsia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</w:rPr>
        <w:t>年度部门整体支出绩效评价报告</w:t>
      </w: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pStyle w:val="4"/>
      </w:pPr>
    </w:p>
    <w:p/>
    <w:p>
      <w:pPr>
        <w:pStyle w:val="7"/>
      </w:pPr>
    </w:p>
    <w:p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2</w:t>
      </w:r>
    </w:p>
    <w:p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年度部门整体支出绩效自评表</w:t>
      </w:r>
    </w:p>
    <w:tbl>
      <w:tblPr>
        <w:tblStyle w:val="9"/>
        <w:tblW w:w="1007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34"/>
        <w:gridCol w:w="1270"/>
        <w:gridCol w:w="1311"/>
        <w:gridCol w:w="1269"/>
        <w:gridCol w:w="716"/>
        <w:gridCol w:w="873"/>
        <w:gridCol w:w="14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级预算部门名称</w:t>
            </w:r>
          </w:p>
        </w:tc>
        <w:tc>
          <w:tcPr>
            <w:tcW w:w="89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岳阳市中心医院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算申请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年初预算数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全年预算数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全年执行数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998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998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998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按收入性质分：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按支出性质分：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642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642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政府性基金拨款：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纳入专户管理的非税收入拨款：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236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年度指标值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实际完成值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就诊人数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门急诊、住院人数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按实推进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杜绝重大医疗事故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防范恶性医疗纠纷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完成年工作计划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成本控制在预算范围内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门急诊费用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逐步降低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逐步降低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优化就医流程，方便病人就医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逐年提高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逐年提高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污水处理医疗废物处理达标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三级公立医院综合改革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扎实推进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扎实推进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患者满意度≥90%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逐年提高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逐年提高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陈丹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填报日期： 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2024.6.20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联系电话：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8246710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单位负责人签字：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9"/>
        <w:tblW w:w="985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艾滋病防治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144.59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120.49%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0.53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  <w:t>1、承担了全市艾滋病的防治与救治工作；2、加大宣传力度，向社会普及和预防艾滋病知识，让更多的艾滋病患者接受医院正规治疗；3、培训基层艾滋病专科医生。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完成大部分艾滋病人的防治与救治工作，并以多种形式向社会宣传艾滋病知识，主动与市疾控及各县区疾控传感科联系，培训基层艾滋病专科医生，均取得良好的社会效益。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确诊的艾滋病患者住院治疗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危急重并发症的治疗率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艾滋病健康教育率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患者治疗时间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一年内完成工作计划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一年内完成工作计划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患者治疗费用标准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按病情指标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按病情指标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不适用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不适用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不适用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艾滋病防治政策知晓率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艾滋病传播途径知晓率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艾滋病高危行为后的紧急措施和知晓率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不适用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不适用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不适用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为和谐社会做贡献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社会和谐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社会和谐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服务对象满意度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≥95%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95%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陈丹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填报日期： 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2024.6.20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联系电话：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8246710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单位负责人签字：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4</w:t>
      </w:r>
    </w:p>
    <w:p>
      <w:pPr>
        <w:jc w:val="center"/>
        <w:rPr>
          <w:rFonts w:hint="default" w:ascii="Times New Roman" w:hAnsi="Times New Roman" w:eastAsia="方正小标宋_GBK" w:cs="Times New Roman"/>
          <w:sz w:val="52"/>
          <w:szCs w:val="52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岳阳市中心医院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部门（单位）整体支出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部门（单位）名称：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>（盖章）</w:t>
      </w:r>
    </w:p>
    <w:p>
      <w:pPr>
        <w:spacing w:line="600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>年  月  日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（此页为封面）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中心医院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部门（单位）整体支出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绩效自评报告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 xml:space="preserve">    一、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部门（单位）基本情况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32"/>
          <w:szCs w:val="32"/>
          <w:lang w:val="en-US" w:eastAsia="zh-CN"/>
        </w:rPr>
        <w:t xml:space="preserve">    岳阳市中心医院始建于1964年，是一所集医疗、教学、科研、预防、保健、康复于一体的三级甲等综合性医院。现有职工2689人，其中正高职称256人、博士后2人、博士24人、硕士491人。医院编制床位共2019张。全院共开设59个诊疗科目，其中临床类47个，医技类12个。开放病区62个。是中南大学湘雅二医院医疗协作医院、中南大学湘雅医学院临床教学基地，同时还承担着另外12所院校的临床教学工作，是湖南省全科医生转岗培训基地、国家住院医师规范化培训基地、国家药物临床试验机构、国家卫健委脑卒中筛查与防治基地、国际紧急救援网络医院、外国专家定点医疗机构、全国直升机医疗救援基地。医院先后被评为全国文明单位、全国卫生计生系统先进集体，是湖南省区域性医疗中心之一，湖南省首批三级甲等医院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二、一般公共预算支出情况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（一）基本支出情况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highlight w:val="none"/>
          <w:lang w:val="en-US" w:eastAsia="zh-CN"/>
        </w:rPr>
        <w:t>岳阳市中心医院基本支出642万元，用于发放在职职工工资。</w:t>
      </w:r>
    </w:p>
    <w:p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项目支出情况</w:t>
      </w:r>
    </w:p>
    <w:p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highlight w:val="none"/>
          <w:lang w:val="en-US" w:eastAsia="zh-CN"/>
        </w:rPr>
        <w:t>岳阳市中心医院项目支出120万，实际执行144.59万元。用于艾滋病人医疗救治。我院坚持预防为主，防治结合的原则，努力降低艾滋病新发感染和病死率，提高艾滋病患者生存质量，确保艾滋病疫情不反复、不反弹。对符合治疗标准的艾滋病病毒感染者免费接受抗病毒治疗，宣教咨询并发放宣教资料。并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主动与市疾控及各县区疾控传感科联系，培训基层艾滋病专科医生，均取得良好的社会效益。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六、部门整体支出绩效情况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  <w:lang w:val="en-US" w:eastAsia="zh-CN"/>
        </w:rPr>
        <w:t>2023年，我院以“十四五”规划为引领，以推进省级区域医疗中心建设为蓝图，以扎实做好常态化疫情防控为目标，改进医疗质量，提升服务水平，优化运行机制，推进医院各项工作健康持续发展。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32"/>
          <w:szCs w:val="32"/>
          <w:lang w:val="en-US" w:eastAsia="zh-CN"/>
        </w:rPr>
        <w:t>基本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32"/>
          <w:szCs w:val="32"/>
        </w:rPr>
        <w:t>完成了年度预期任务，并取得了较好的成效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下一步改进措施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32"/>
          <w:szCs w:val="32"/>
        </w:rPr>
        <w:t>（一）加强审核，提高效率，优化中间环节，提高专项资金工作效能。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32"/>
          <w:szCs w:val="32"/>
        </w:rPr>
        <w:t>（二）进一步健全管理制度、优化工作流程，提高服务质量和管理水平，完善资金专项绩效管理。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  <w:lang w:val="en-US" w:eastAsia="zh-CN"/>
        </w:rPr>
        <w:t>坚持区域医疗中心和综合性三甲医院定位，强化医院内部风险管控，强化财务平衡和预算管理。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</w:pPr>
    </w:p>
    <w:p>
      <w:pPr>
        <w:pStyle w:val="4"/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Mangal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????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angal">
    <w:altName w:val="Yu Gothic"/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Dialog">
    <w:altName w:val="Times New Roman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0000000" w:csb0="600001FF" w:csb1="DFFF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ndara Light">
    <w:panose1 w:val="020E0502030303020204"/>
    <w:charset w:val="00"/>
    <w:family w:val="auto"/>
    <w:pitch w:val="default"/>
    <w:sig w:usb0="A00002FF" w:usb1="00000002" w:usb2="00000000" w:usb3="00000000" w:csb0="0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Bahnschrift SemiLight 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66A40B9"/>
    <w:multiLevelType w:val="singleLevel"/>
    <w:tmpl w:val="666A40B9"/>
    <w:lvl w:ilvl="0" w:tentative="0">
      <w:start w:val="2"/>
      <w:numFmt w:val="chineseCounting"/>
      <w:suff w:val="nothing"/>
      <w:lvlText w:val="（%1）"/>
      <w:lvlJc w:val="left"/>
    </w:lvl>
  </w:abstractNum>
  <w:abstractNum w:abstractNumId="2">
    <w:nsid w:val="666A4327"/>
    <w:multiLevelType w:val="singleLevel"/>
    <w:tmpl w:val="666A4327"/>
    <w:lvl w:ilvl="0" w:tentative="0">
      <w:start w:val="7"/>
      <w:numFmt w:val="chineseCounting"/>
      <w:suff w:val="nothing"/>
      <w:lvlText w:val="%1、"/>
      <w:lvlJc w:val="left"/>
    </w:lvl>
  </w:abstractNum>
  <w:abstractNum w:abstractNumId="3">
    <w:nsid w:val="66DE88E6"/>
    <w:multiLevelType w:val="singleLevel"/>
    <w:tmpl w:val="66DE88E6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6F9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A3F69"/>
    <w:rsid w:val="00103957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926B9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AB18F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D06FF"/>
    <w:rsid w:val="00DD5FE9"/>
    <w:rsid w:val="00E00C7A"/>
    <w:rsid w:val="00E37D6C"/>
    <w:rsid w:val="00E55B68"/>
    <w:rsid w:val="00E561AE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38B2D13"/>
    <w:rsid w:val="03AA2172"/>
    <w:rsid w:val="059958AD"/>
    <w:rsid w:val="11BE0150"/>
    <w:rsid w:val="12583BA5"/>
    <w:rsid w:val="13BA5B9C"/>
    <w:rsid w:val="1B68069C"/>
    <w:rsid w:val="1D97DEFF"/>
    <w:rsid w:val="1DFF72E5"/>
    <w:rsid w:val="1EFC6F07"/>
    <w:rsid w:val="22AC03C2"/>
    <w:rsid w:val="250B643A"/>
    <w:rsid w:val="276B3CB7"/>
    <w:rsid w:val="2FDF85B8"/>
    <w:rsid w:val="2FFFEE04"/>
    <w:rsid w:val="31C95635"/>
    <w:rsid w:val="34DF85B0"/>
    <w:rsid w:val="3B8F36BC"/>
    <w:rsid w:val="491FF225"/>
    <w:rsid w:val="4FFD214C"/>
    <w:rsid w:val="50C209CE"/>
    <w:rsid w:val="52B819D7"/>
    <w:rsid w:val="5352765A"/>
    <w:rsid w:val="5777D4F5"/>
    <w:rsid w:val="59DD8326"/>
    <w:rsid w:val="5C8362B3"/>
    <w:rsid w:val="5DEF592A"/>
    <w:rsid w:val="5FC6BB1E"/>
    <w:rsid w:val="5FF720F1"/>
    <w:rsid w:val="60B10B60"/>
    <w:rsid w:val="67FF5C0B"/>
    <w:rsid w:val="6BAA4A2F"/>
    <w:rsid w:val="6EFC0924"/>
    <w:rsid w:val="6FB74722"/>
    <w:rsid w:val="6FEF8B7E"/>
    <w:rsid w:val="71A6591B"/>
    <w:rsid w:val="737D59BA"/>
    <w:rsid w:val="737F32B1"/>
    <w:rsid w:val="746D7507"/>
    <w:rsid w:val="77C37683"/>
    <w:rsid w:val="79FF515B"/>
    <w:rsid w:val="7E9E1962"/>
    <w:rsid w:val="7E9F11B4"/>
    <w:rsid w:val="7F37EC1E"/>
    <w:rsid w:val="7F7DCD9D"/>
    <w:rsid w:val="7F970A6F"/>
    <w:rsid w:val="7FC1FFF3"/>
    <w:rsid w:val="7FC69637"/>
    <w:rsid w:val="7FDF8620"/>
    <w:rsid w:val="7FFB242F"/>
    <w:rsid w:val="7FFDB408"/>
    <w:rsid w:val="7FFE4EEB"/>
    <w:rsid w:val="95FB2B98"/>
    <w:rsid w:val="9A639BC2"/>
    <w:rsid w:val="9FF7D786"/>
    <w:rsid w:val="ABBFB23D"/>
    <w:rsid w:val="C3B4DA5A"/>
    <w:rsid w:val="CBFF70E0"/>
    <w:rsid w:val="CFF50B82"/>
    <w:rsid w:val="CFFFAD89"/>
    <w:rsid w:val="DFFE359E"/>
    <w:rsid w:val="DFFE4FFD"/>
    <w:rsid w:val="EEABED75"/>
    <w:rsid w:val="F56FDF51"/>
    <w:rsid w:val="F6B69F17"/>
    <w:rsid w:val="F77F1D61"/>
    <w:rsid w:val="F7FED3A9"/>
    <w:rsid w:val="F8C9DB26"/>
    <w:rsid w:val="F97E8EAE"/>
    <w:rsid w:val="FB36E1A6"/>
    <w:rsid w:val="FB3BE134"/>
    <w:rsid w:val="FCFF4275"/>
    <w:rsid w:val="FD7FEEEA"/>
    <w:rsid w:val="FDFFB577"/>
    <w:rsid w:val="FEEA50FE"/>
    <w:rsid w:val="FF7D47A9"/>
    <w:rsid w:val="FFCF21CB"/>
    <w:rsid w:val="FFFF1C8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"/>
    <w:basedOn w:val="1"/>
    <w:next w:val="4"/>
    <w:unhideWhenUsed/>
    <w:qFormat/>
    <w:uiPriority w:val="99"/>
    <w:pPr>
      <w:widowControl/>
      <w:spacing w:after="120"/>
      <w:ind w:left="420" w:leftChars="200"/>
      <w:jc w:val="left"/>
    </w:pPr>
    <w:rPr>
      <w:rFonts w:ascii="宋体" w:hAnsi="宋体" w:eastAsia="宋体" w:cs="宋体"/>
      <w:kern w:val="0"/>
      <w:sz w:val="24"/>
    </w:rPr>
  </w:style>
  <w:style w:type="paragraph" w:styleId="4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footnote text"/>
    <w:basedOn w:val="1"/>
    <w:next w:val="4"/>
    <w:semiHidden/>
    <w:qFormat/>
    <w:uiPriority w:val="0"/>
    <w:pPr>
      <w:snapToGrid w:val="0"/>
      <w:jc w:val="left"/>
    </w:pPr>
    <w:rPr>
      <w:sz w:val="18"/>
      <w:szCs w:val="18"/>
    </w:rPr>
  </w:style>
  <w:style w:type="character" w:customStyle="1" w:styleId="10">
    <w:name w:val="页眉 Char"/>
    <w:basedOn w:val="8"/>
    <w:link w:val="2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6"/>
    <w:qFormat/>
    <w:uiPriority w:val="99"/>
    <w:rPr>
      <w:sz w:val="18"/>
      <w:szCs w:val="18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8"/>
    <w:link w:val="5"/>
    <w:semiHidden/>
    <w:qFormat/>
    <w:uiPriority w:val="99"/>
    <w:rPr>
      <w:sz w:val="18"/>
      <w:szCs w:val="18"/>
    </w:rPr>
  </w:style>
  <w:style w:type="character" w:customStyle="1" w:styleId="15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">
    <w:name w:val="font2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1347</Words>
  <Characters>7679</Characters>
  <Lines>63</Lines>
  <Paragraphs>18</Paragraphs>
  <ScaleCrop>false</ScaleCrop>
  <LinksUpToDate>false</LinksUpToDate>
  <CharactersWithSpaces>9008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2020-07-08T02:32:00Z</dcterms:created>
  <dc:creator>李航 null</dc:creator>
  <cp:lastModifiedBy>Administrator</cp:lastModifiedBy>
  <cp:lastPrinted>2024-09-09T07:14:00Z</cp:lastPrinted>
  <dcterms:modified xsi:type="dcterms:W3CDTF">2024-09-19T09:14:22Z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  <property fmtid="{D5CDD505-2E9C-101B-9397-08002B2CF9AE}" pid="3" name="ICV">
    <vt:lpwstr>98623D6660B449428EB8E073C6C952EA</vt:lpwstr>
  </property>
</Properties>
</file>