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54304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岳阳市劳动人事争议仲裁院</w:t>
      </w:r>
    </w:p>
    <w:p w14:paraId="73DC4431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2025年度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部门</w:t>
      </w:r>
      <w:r>
        <w:rPr>
          <w:rFonts w:hint="eastAsia" w:ascii="黑体" w:hAnsi="黑体" w:eastAsia="黑体" w:cs="黑体"/>
          <w:sz w:val="48"/>
          <w:szCs w:val="48"/>
        </w:rPr>
        <w:t>预算</w:t>
      </w:r>
    </w:p>
    <w:p w14:paraId="74FCC2DE">
      <w:pPr>
        <w:jc w:val="center"/>
        <w:rPr>
          <w:rFonts w:hint="eastAsia" w:ascii="黑体" w:hAnsi="黑体" w:eastAsia="黑体" w:cs="黑体"/>
          <w:sz w:val="48"/>
          <w:szCs w:val="48"/>
        </w:rPr>
      </w:pPr>
    </w:p>
    <w:p w14:paraId="01C47A69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目录</w:t>
      </w:r>
    </w:p>
    <w:p w14:paraId="5C134ED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第一部分  2025年单位预算说明</w:t>
      </w:r>
    </w:p>
    <w:p w14:paraId="0EE935B4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第二部分  2025年单位预算公开表格</w:t>
      </w:r>
    </w:p>
    <w:p w14:paraId="4E1ED957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61E1011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156D6350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6FD54A5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0B12DB0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0723FAB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0102815A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4D443B6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270BE98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6BA5D8B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760ADE1D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3F44A29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33EDD4F6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72AA640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569A59C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33008A6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</w:t>
      </w:r>
    </w:p>
    <w:p w14:paraId="0756CB1D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17、政府性基金预算支出分类汇总表（按部门预算经济分类）</w:t>
      </w:r>
    </w:p>
    <w:p w14:paraId="5092BBF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5EBC3096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03C848E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08E43B56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3A79367D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20E88D7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7BED272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p w14:paraId="3516189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BF83EE3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0387EA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69E235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2DC7D2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D21495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E02A64C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4A0A47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4E405A3"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48"/>
          <w:szCs w:val="48"/>
        </w:rPr>
        <w:t>第一部分  2025年单位预算说明</w:t>
      </w:r>
    </w:p>
    <w:p w14:paraId="45BEDBC0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7D30BD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一、单位基本概况</w:t>
      </w:r>
    </w:p>
    <w:p w14:paraId="43AEA935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（一）职能职责</w:t>
      </w:r>
    </w:p>
    <w:p w14:paraId="4411D77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0"/>
          <w:szCs w:val="30"/>
        </w:rPr>
        <w:t>是贯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彻执行国家劳动保障法律、法规，检查用人单位遵守法律、法规的情况，受理劳动者投诉、举报，查处违法用工和拖欠工资等行为。二是为及时解决劳动争议，维护当事人合法权益。因确认劳动关系 订立 履行 变更 解除和终止劳动合同 除名 辞退 辞职 离职 工作时间 休息休假 社会保险 福利 培训以及劳动保护 劳动报酬 工伤医疗费 经济补偿或赔偿金等发生的争议，法律、法规规定的其他劳动争议。其重点工作是积极构建和谐劳动关系，加强新就业形态劳动者权益保障，提升劳动人事争议仲裁质效，加强农民工服务保障。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 w14:paraId="4A104A5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（二）机构设置</w:t>
      </w:r>
    </w:p>
    <w:p w14:paraId="1C05071C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岳阳市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劳动人事争议仲裁院，</w:t>
      </w:r>
      <w:r>
        <w:rPr>
          <w:rFonts w:hint="eastAsia" w:ascii="仿宋_GB2312" w:hAnsi="仿宋_GB2312" w:eastAsia="仿宋_GB2312" w:cs="仿宋_GB2312"/>
          <w:sz w:val="30"/>
          <w:szCs w:val="30"/>
        </w:rPr>
        <w:t>是隶属于市人社局管理的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公益一类副处级事业单位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在编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在岗38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退休5人，财政供养人员6人，</w:t>
      </w:r>
      <w:r>
        <w:rPr>
          <w:rFonts w:hint="eastAsia" w:ascii="仿宋_GB2312" w:hAnsi="仿宋_GB2312" w:eastAsia="仿宋_GB2312" w:cs="仿宋_GB2312"/>
          <w:sz w:val="30"/>
          <w:szCs w:val="30"/>
        </w:rPr>
        <w:t>内设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个科室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分别是综合部、立案庭、劳动人事仲裁庭、劳动人事争议调解中心、劳动维权部、根治欠薪中心，2025年为独立核算预算单位。</w:t>
      </w:r>
    </w:p>
    <w:p w14:paraId="7D20BB3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二、单位预算单位构成</w:t>
      </w:r>
    </w:p>
    <w:p w14:paraId="65F95B2B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本单位预算仅含本级预算。</w:t>
      </w:r>
    </w:p>
    <w:p w14:paraId="46F3EC9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三、单位收支总体情况</w:t>
      </w:r>
    </w:p>
    <w:p w14:paraId="07A210A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 w14:paraId="7BC0178B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（一）收入预算</w:t>
      </w:r>
    </w:p>
    <w:p w14:paraId="25CAD4C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包括一般公共预算、政府性基金、国有资本经营预算等财政拨款收入，以及经营收入、事业收入等单位资金。2025年度本单位收入预算746.12万元，其中，一般公共预算拨款746.12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万元，主要是</w:t>
      </w:r>
      <w:bookmarkStart w:id="0" w:name="OLE_LINK1"/>
      <w:r>
        <w:rPr>
          <w:rFonts w:hint="eastAsia" w:ascii="仿宋_GB2312" w:hAnsi="仿宋_GB2312" w:eastAsia="仿宋_GB2312" w:cs="仿宋_GB2312"/>
          <w:sz w:val="30"/>
          <w:szCs w:val="30"/>
        </w:rPr>
        <w:t>因为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机构改革，2025年为独立核算的预算单位。</w:t>
      </w:r>
      <w:bookmarkEnd w:id="0"/>
    </w:p>
    <w:p w14:paraId="3F4D74FB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（二）支出预算</w:t>
      </w:r>
    </w:p>
    <w:p w14:paraId="1C0B7265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2025年本单位支出预算746.12万元，其中，208社会保障和就业支出671.43万元，210卫生健康支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出32.87万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221住房保障支出41.81万元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主要是因为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机构改革，2025年为独立核算的预算单位。</w:t>
      </w:r>
    </w:p>
    <w:p w14:paraId="6E23A6EC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四、一般公共预算拨款支出预算</w:t>
      </w:r>
    </w:p>
    <w:p w14:paraId="60FE834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2025年一般公共预算拨款支出预算746.12万元，其中，208社会保障和就业支出671.43万元，占89.99%；210卫生健康支出32.87万元，占4.41%；221住房保障支出41.81万元，占5.6%；具体安排情况如下：</w:t>
      </w:r>
    </w:p>
    <w:p w14:paraId="3A33E3C2">
      <w:pPr>
        <w:numPr>
          <w:ilvl w:val="0"/>
          <w:numId w:val="1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基本支出：2025年基本支出年初预算数为651.12万元（数据来源见表23），是指为保障单位机构正常运转、完成日常工作任务而发生的各项支出，包括用于基本工资、津贴补贴等人员经费以及办公费、印刷费、水电费、差旅费等日常公用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费。</w:t>
      </w:r>
    </w:p>
    <w:p w14:paraId="6D33199F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项目支出：2025年项目支出年初预算数为95.00万元（数据来源见表20），是指单位为完成特定行政工作任务或事业发展目标而发生的支出，包括有关业务工作经费、运行维护经费、其他事业发展资金等。其中：日常工作经费专项支出95.00万元，主要用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仲裁办案、劳动维权、根治欠薪方面的工作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4545CDA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五、政府性基金预算支出</w:t>
      </w:r>
    </w:p>
    <w:p w14:paraId="093C077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2025年度本单位无政府性基金安排的支出，所以公开的附件15-17（政府性基金预算）为空。</w:t>
      </w:r>
    </w:p>
    <w:p w14:paraId="4509C681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六、其他重要事项的情况说明</w:t>
      </w:r>
    </w:p>
    <w:p w14:paraId="65E90281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（一）机关运行经费</w:t>
      </w:r>
    </w:p>
    <w:p w14:paraId="17CF5041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本单位2025年机关运行经费当年一般公共预算拨款103.23万元（数据来源见表12），比上一年减少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万元，降低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%。主要原因是</w:t>
      </w:r>
      <w:bookmarkStart w:id="1" w:name="OLE_LINK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机构改革，2025年为独立核算的预算单位。</w:t>
      </w:r>
      <w:bookmarkEnd w:id="1"/>
    </w:p>
    <w:p w14:paraId="307C73AC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（二）“三公”经费预算</w:t>
      </w:r>
    </w:p>
    <w:p w14:paraId="17EDB958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“三公”经费预算数2.00万元（数据来源见表14），其中，公务接待费2.00万元，因公出国（境）费0.00万元，公务用车购置及运行费0.00万元（其中，公务用车购置费0.00万元，公务用车运行费0.00万元）。2025年三公经费预算较上年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万元，主要原因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是机构改革，2025年为独立核算的预算单位。</w:t>
      </w:r>
    </w:p>
    <w:p w14:paraId="693FEFF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（三）一般性支出情况</w:t>
      </w:r>
    </w:p>
    <w:p w14:paraId="417072C2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本单位2025年会议费预算0.50万元（数据来源见表13会议费、培训费），拟召开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次会议，人数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仲裁、劳动监察工作部署会议</w:t>
      </w:r>
      <w:r>
        <w:rPr>
          <w:rFonts w:hint="eastAsia" w:ascii="仿宋_GB2312" w:hAnsi="仿宋_GB2312" w:eastAsia="仿宋_GB2312" w:cs="仿宋_GB2312"/>
          <w:sz w:val="30"/>
          <w:szCs w:val="30"/>
        </w:rPr>
        <w:t>；培训费预算0.50万元，拟开展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次培训，人数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仲裁办案能力提升、劳动维权、根治欠薪业务能力提升</w:t>
      </w:r>
      <w:r>
        <w:rPr>
          <w:rFonts w:hint="eastAsia" w:ascii="仿宋_GB2312" w:hAnsi="仿宋_GB2312" w:eastAsia="仿宋_GB2312" w:cs="仿宋_GB2312"/>
          <w:sz w:val="30"/>
          <w:szCs w:val="30"/>
        </w:rPr>
        <w:t>；计划举办节庆、晚会、论坛、赛事活动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万元。（2025年度本单位未计划举办节庆、晚会、论坛、赛事活动）</w:t>
      </w:r>
    </w:p>
    <w:p w14:paraId="25F07A58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（四）政府采购情况</w:t>
      </w:r>
    </w:p>
    <w:p w14:paraId="4B59AC6E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本单位2025年政府采购预算总额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232.58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万元，其中工程类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万元，货物类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83.08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万元，服务类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138.5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 w14:paraId="35F27AD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（五）国有资产占有使用及新增资产配置情况</w:t>
      </w:r>
    </w:p>
    <w:p w14:paraId="74A1139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截至上年底，本单位共有车辆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台。 </w:t>
      </w:r>
    </w:p>
    <w:p w14:paraId="3667FFE8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2025年拟报废处置车辆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辆，其中：报废处置领导干部用车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台，报废处置单位价值100万元以上通用设备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台。拟新增配置车辆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2025年度未计划处置车辆、设备等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 w14:paraId="03882359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2025年拟新增配备领导干部用车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辆，新增配备单位价值50万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0"/>
          <w:szCs w:val="30"/>
        </w:rPr>
        <w:t>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台。（2025年度本单位未计划处置或新增车辆、设备等）</w:t>
      </w:r>
    </w:p>
    <w:p w14:paraId="7002BAD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（六）预算绩效目标说明</w:t>
      </w:r>
    </w:p>
    <w:p w14:paraId="5586EF3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本单位所有支出实行绩效目标管理。纳入2025年单位整体支出绩效目标的金额为746.12万元，其中，基本支出651.12万元，项目支出95.00万元，详见文尾附表中单位预算公开表格的表21-22。</w:t>
      </w:r>
    </w:p>
    <w:p w14:paraId="1014F99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七、名词解释</w:t>
      </w:r>
    </w:p>
    <w:p w14:paraId="10E27416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FAA8A3E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2AA733D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DE431B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4C105C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AF254D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41DB5D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6FF88A7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AA255F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F232387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A1FEE0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C70F39D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84E124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DE4B7F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0D311D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F4885E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01CC9D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C24AE60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EA06EA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DE978E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694A40F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A5B767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B1E2C9B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第二部分  2025年单位预算公开表格</w:t>
      </w:r>
    </w:p>
    <w:p w14:paraId="1E29BC9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127C5BAB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4B9549FF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4A0CBD0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1425722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05D3042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3D0EF53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27F01A8B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43FA0E0D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7F4CB1C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1A972E0C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300917F1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713E98F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675DCC2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5A2C17D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7513568A">
      <w:pPr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16、政府性基金预算支出分类汇总表（按政府预算经济分类）17、政府性基金预算支出分类汇总表（按部门预算经济分类）</w:t>
      </w:r>
    </w:p>
    <w:p w14:paraId="37F27EC5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2545E86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4E6F3D7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4A74187C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27413A09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76C87508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18CC197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3F87E"/>
    <w:multiLevelType w:val="singleLevel"/>
    <w:tmpl w:val="4A33F8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25854"/>
    <w:rsid w:val="102E00D7"/>
    <w:rsid w:val="10DC64C4"/>
    <w:rsid w:val="132B3506"/>
    <w:rsid w:val="13563217"/>
    <w:rsid w:val="13564DE6"/>
    <w:rsid w:val="18DD1094"/>
    <w:rsid w:val="19091270"/>
    <w:rsid w:val="19285B62"/>
    <w:rsid w:val="19D84BB6"/>
    <w:rsid w:val="24B0155D"/>
    <w:rsid w:val="25ED3BC6"/>
    <w:rsid w:val="27B362C4"/>
    <w:rsid w:val="3315084C"/>
    <w:rsid w:val="37975F94"/>
    <w:rsid w:val="4109686F"/>
    <w:rsid w:val="44950CD9"/>
    <w:rsid w:val="4EB039B9"/>
    <w:rsid w:val="567C07C7"/>
    <w:rsid w:val="59725854"/>
    <w:rsid w:val="5DD5685D"/>
    <w:rsid w:val="75512DB1"/>
    <w:rsid w:val="76130780"/>
    <w:rsid w:val="796241DA"/>
    <w:rsid w:val="7DA0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2025-04-09T03:20:00Z</dcterms:created>
  <dc:creator>仲裁院</dc:creator>
  <cp:lastModifiedBy>Administrator</cp:lastModifiedBy>
  <dcterms:modified xsi:type="dcterms:W3CDTF">2025-04-15T01:56:20Z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E0C81CAEF4814000A1005204996CCE24</vt:lpwstr>
  </property>
</Properties>
</file>