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108EA">
      <w:pPr>
        <w:spacing w:line="600" w:lineRule="exact"/>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2024年度岳阳市农村电商平台项目</w:t>
      </w:r>
    </w:p>
    <w:p w14:paraId="52F08D73">
      <w:pPr>
        <w:spacing w:line="600" w:lineRule="exact"/>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绩效自评报告</w:t>
      </w:r>
    </w:p>
    <w:p w14:paraId="529CC0F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sz w:val="32"/>
          <w:szCs w:val="32"/>
        </w:rPr>
      </w:pPr>
    </w:p>
    <w:p w14:paraId="20929C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Cs/>
          <w:sz w:val="32"/>
          <w:szCs w:val="32"/>
        </w:rPr>
      </w:pPr>
      <w:r>
        <w:rPr>
          <w:rFonts w:hint="eastAsia" w:ascii="黑体" w:hAnsi="黑体" w:eastAsia="黑体" w:cs="黑体"/>
          <w:bCs/>
          <w:sz w:val="32"/>
          <w:szCs w:val="32"/>
        </w:rPr>
        <w:t>一、项目基本情况</w:t>
      </w:r>
    </w:p>
    <w:p w14:paraId="221A1D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eastAsia" w:ascii="楷体" w:hAnsi="楷体" w:eastAsia="楷体" w:cs="楷体"/>
          <w:bCs/>
          <w:sz w:val="32"/>
          <w:szCs w:val="32"/>
          <w:lang w:eastAsia="zh-CN"/>
        </w:rPr>
        <w:t>（</w:t>
      </w:r>
      <w:r>
        <w:rPr>
          <w:rFonts w:hint="eastAsia" w:ascii="楷体" w:hAnsi="楷体" w:eastAsia="楷体" w:cs="楷体"/>
          <w:bCs/>
          <w:sz w:val="32"/>
          <w:szCs w:val="32"/>
          <w:lang w:val="en-US" w:eastAsia="zh-CN"/>
        </w:rPr>
        <w:t>一</w:t>
      </w:r>
      <w:r>
        <w:rPr>
          <w:rFonts w:hint="eastAsia" w:ascii="楷体" w:hAnsi="楷体" w:eastAsia="楷体" w:cs="楷体"/>
          <w:bCs/>
          <w:sz w:val="32"/>
          <w:szCs w:val="32"/>
          <w:lang w:eastAsia="zh-CN"/>
        </w:rPr>
        <w:t>）</w:t>
      </w:r>
      <w:r>
        <w:rPr>
          <w:rFonts w:hint="eastAsia" w:ascii="楷体" w:hAnsi="楷体" w:eastAsia="楷体" w:cs="楷体"/>
          <w:bCs/>
          <w:sz w:val="32"/>
          <w:szCs w:val="32"/>
        </w:rPr>
        <w:t>项目单位基本情况</w:t>
      </w:r>
    </w:p>
    <w:p w14:paraId="4E04819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岳阳市供销合作联社是具有行政职能的正处级全额拨款参照公务员法管理事业单位，机关内设9个科室，现有干部职工32人、退休干部44人。全系统拥有全资企业2家、参控股企业9家，下辖9个县市区供销社（其中8个</w:t>
      </w:r>
      <w:bookmarkStart w:id="0" w:name="_GoBack"/>
      <w:bookmarkEnd w:id="0"/>
      <w:r>
        <w:rPr>
          <w:rFonts w:hint="default" w:ascii="Times New Roman" w:hAnsi="Times New Roman" w:eastAsia="仿宋_GB2312" w:cs="Times New Roman"/>
          <w:bCs/>
          <w:kern w:val="2"/>
          <w:sz w:val="32"/>
          <w:szCs w:val="32"/>
          <w:lang w:val="en-US" w:eastAsia="zh-CN" w:bidi="ar-SA"/>
        </w:rPr>
        <w:t>县级社为参公管理事业单位，岳阳楼区社为自收自支事业单位），岳阳经济技术开发区、南湖新区、屈原管理区正在申报设置供销合作社。作为全市供销合作系统的核心组织，岳阳市供销合作联社承担着推动农产品流通、农业社会化服务及农村电子商务发展的重要职责。</w:t>
      </w:r>
    </w:p>
    <w:p w14:paraId="0E6C7C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eastAsia" w:ascii="楷体" w:hAnsi="楷体" w:eastAsia="楷体" w:cs="楷体"/>
          <w:bCs/>
          <w:sz w:val="32"/>
          <w:szCs w:val="32"/>
          <w:lang w:val="en-US" w:eastAsia="zh-CN"/>
        </w:rPr>
        <w:t>（二）</w:t>
      </w:r>
      <w:r>
        <w:rPr>
          <w:rFonts w:hint="eastAsia" w:ascii="楷体" w:hAnsi="楷体" w:eastAsia="楷体" w:cs="楷体"/>
          <w:bCs/>
          <w:sz w:val="32"/>
          <w:szCs w:val="32"/>
          <w:lang w:eastAsia="zh-CN"/>
        </w:rPr>
        <w:t>项目年度预算绩效目标、绩效指标设定情况</w:t>
      </w:r>
    </w:p>
    <w:p w14:paraId="7E430CE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rPr>
      </w:pPr>
      <w:r>
        <w:rPr>
          <w:rFonts w:hint="eastAsia"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预期总目标</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kern w:val="2"/>
          <w:sz w:val="32"/>
          <w:szCs w:val="32"/>
          <w:lang w:val="en-US" w:eastAsia="zh-CN" w:bidi="ar-SA"/>
        </w:rPr>
        <w:t>通过建设农村电商平台，实现全年入驻企业数量（含扶贫企业、保靖对口帮扶企业）达到100家，农产品线上销售额同比增长10%，仓库流转率提升10%，构建覆盖全市的农村电商服务体系，助力乡村振兴战略实施。</w:t>
      </w:r>
    </w:p>
    <w:p w14:paraId="419C0F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2.</w:t>
      </w:r>
      <w:r>
        <w:rPr>
          <w:rFonts w:hint="default" w:ascii="Times New Roman" w:hAnsi="Times New Roman" w:eastAsia="仿宋_GB2312" w:cs="Times New Roman"/>
          <w:bCs/>
          <w:kern w:val="2"/>
          <w:sz w:val="32"/>
          <w:szCs w:val="32"/>
          <w:lang w:val="en-US" w:eastAsia="zh-CN" w:bidi="ar-SA"/>
        </w:rPr>
        <w:t>阶段性目标</w:t>
      </w:r>
    </w:p>
    <w:p w14:paraId="40EA12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上半年：完成50家企业入驻平台（含20家扶贫及对口帮扶企业），农产品线上销售额较2023年同期增长5%</w:t>
      </w:r>
      <w:r>
        <w:rPr>
          <w:rFonts w:hint="eastAsia" w:ascii="Times New Roman" w:hAnsi="Times New Roman" w:eastAsia="仿宋_GB2312" w:cs="Times New Roman"/>
          <w:bCs/>
          <w:kern w:val="2"/>
          <w:sz w:val="32"/>
          <w:szCs w:val="32"/>
          <w:lang w:val="en-US" w:eastAsia="zh-CN" w:bidi="ar-SA"/>
        </w:rPr>
        <w:t>；</w:t>
      </w:r>
    </w:p>
    <w:p w14:paraId="2FD61A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下半年：累计入驻企业达100家，农产品线上销售额全年增长10%目标达成，仓库流转率提升10%，完成平台功能迭代升级。</w:t>
      </w:r>
    </w:p>
    <w:p w14:paraId="38DC3921">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3.项目基本性质、用途和主要内容、</w:t>
      </w:r>
      <w:r>
        <w:rPr>
          <w:rFonts w:hint="default" w:ascii="Times New Roman" w:hAnsi="Times New Roman" w:eastAsia="仿宋_GB2312" w:cs="Times New Roman"/>
          <w:bCs/>
          <w:sz w:val="32"/>
          <w:szCs w:val="32"/>
        </w:rPr>
        <w:t>涉及范围</w:t>
      </w:r>
      <w:r>
        <w:rPr>
          <w:rFonts w:hint="eastAsia" w:ascii="Times New Roman" w:hAnsi="Times New Roman" w:eastAsia="仿宋_GB2312" w:cs="Times New Roman"/>
          <w:bCs/>
          <w:sz w:val="32"/>
          <w:szCs w:val="32"/>
          <w:lang w:val="en-US" w:eastAsia="zh-CN"/>
        </w:rPr>
        <w:t>：本项目为农村电商平台建设项目，主要依托岳阳市政务云平台，整合市供销合作联社现有资源，提供全市农产品产供销一体化的网上服务平台。平台涵盖线上交易商城、供需信息平台、线上农技学院、线上虚拟展厅和在线直播带货等功能，旨在优化农产品流通环节，拓宽销售渠道，促进农民增收，推动农村产业兴旺。项目涉及岳阳市全域农村地区，覆盖农产品生产、加工、销售企业及农户，并联动保靖县、桑日县等对口帮扶地区，形成跨区域合作机制。</w:t>
      </w:r>
    </w:p>
    <w:p w14:paraId="74423B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bCs/>
          <w:sz w:val="32"/>
          <w:szCs w:val="32"/>
        </w:rPr>
      </w:pPr>
      <w:r>
        <w:rPr>
          <w:rFonts w:hint="eastAsia" w:ascii="黑体" w:hAnsi="黑体" w:eastAsia="黑体" w:cs="黑体"/>
          <w:bCs/>
          <w:sz w:val="32"/>
          <w:szCs w:val="32"/>
        </w:rPr>
        <w:t>二、项目资金使用及管理情况</w:t>
      </w:r>
    </w:p>
    <w:p w14:paraId="647AA6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本项目资金来源为政府配套资金，按三年支付，第三年结清。预算总金额为2</w:t>
      </w:r>
      <w:r>
        <w:rPr>
          <w:rFonts w:hint="eastAsia" w:ascii="Times New Roman" w:hAnsi="Times New Roman" w:eastAsia="仿宋_GB2312" w:cs="Times New Roman"/>
          <w:bCs/>
          <w:color w:val="auto"/>
          <w:sz w:val="32"/>
          <w:szCs w:val="32"/>
          <w:lang w:val="en-US" w:eastAsia="zh-CN"/>
        </w:rPr>
        <w:t>74.8</w:t>
      </w:r>
      <w:r>
        <w:rPr>
          <w:rFonts w:hint="default" w:ascii="Times New Roman" w:hAnsi="Times New Roman" w:eastAsia="仿宋_GB2312" w:cs="Times New Roman"/>
          <w:bCs/>
          <w:color w:val="auto"/>
          <w:sz w:val="32"/>
          <w:szCs w:val="32"/>
        </w:rPr>
        <w:t>万元（其中项目建设费用</w:t>
      </w:r>
      <w:r>
        <w:rPr>
          <w:rFonts w:hint="eastAsia" w:ascii="Times New Roman" w:hAnsi="Times New Roman" w:eastAsia="仿宋_GB2312" w:cs="Times New Roman"/>
          <w:bCs/>
          <w:color w:val="auto"/>
          <w:sz w:val="32"/>
          <w:szCs w:val="32"/>
          <w:lang w:val="en-US" w:eastAsia="zh-CN"/>
        </w:rPr>
        <w:t>260.83</w:t>
      </w:r>
      <w:r>
        <w:rPr>
          <w:rFonts w:hint="default" w:ascii="Times New Roman" w:hAnsi="Times New Roman" w:eastAsia="仿宋_GB2312" w:cs="Times New Roman"/>
          <w:bCs/>
          <w:color w:val="auto"/>
          <w:sz w:val="32"/>
          <w:szCs w:val="32"/>
        </w:rPr>
        <w:t>万元、项目咨询费2.32万元、项目监理费4.65万元、安全测评费5万元、第三方测试费2万元）。截至2024年12月</w:t>
      </w:r>
      <w:r>
        <w:rPr>
          <w:rFonts w:hint="eastAsia"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1日，已实际到位资金274.</w:t>
      </w:r>
      <w:r>
        <w:rPr>
          <w:rFonts w:hint="eastAsia" w:ascii="Times New Roman" w:hAnsi="Times New Roman" w:eastAsia="仿宋_GB2312" w:cs="Times New Roman"/>
          <w:bCs/>
          <w:color w:val="auto"/>
          <w:sz w:val="32"/>
          <w:szCs w:val="32"/>
          <w:lang w:val="en-US" w:eastAsia="zh-CN"/>
        </w:rPr>
        <w:t>8</w:t>
      </w:r>
      <w:r>
        <w:rPr>
          <w:rFonts w:hint="default" w:ascii="Times New Roman" w:hAnsi="Times New Roman" w:eastAsia="仿宋_GB2312" w:cs="Times New Roman"/>
          <w:bCs/>
          <w:color w:val="auto"/>
          <w:sz w:val="32"/>
          <w:szCs w:val="32"/>
        </w:rPr>
        <w:t>万元，按照合同约定支付179.16万元</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其中项目</w:t>
      </w:r>
      <w:r>
        <w:rPr>
          <w:rFonts w:hint="default" w:ascii="Times New Roman" w:hAnsi="Times New Roman" w:eastAsia="仿宋_GB2312" w:cs="Times New Roman"/>
          <w:bCs/>
          <w:color w:val="auto"/>
          <w:sz w:val="32"/>
          <w:szCs w:val="32"/>
        </w:rPr>
        <w:t>建设费用165.19万元、安全测评费5万元、项目咨询费2.32万元、项目监理费4.65万元、第三方测试费2万元</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w:t>
      </w:r>
    </w:p>
    <w:p w14:paraId="0A4B6C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color w:val="auto"/>
        </w:rPr>
      </w:pPr>
      <w:r>
        <w:rPr>
          <w:rFonts w:hint="default" w:ascii="Times New Roman" w:hAnsi="Times New Roman" w:eastAsia="仿宋_GB2312" w:cs="Times New Roman"/>
          <w:bCs/>
          <w:color w:val="auto"/>
          <w:sz w:val="32"/>
          <w:szCs w:val="32"/>
        </w:rPr>
        <w:t>项目资金实行专款专用，严格按预算执行，未出现超支或违规使用情况。财务审计显示，资金使用流程规范，符合财政管理要求。</w:t>
      </w:r>
    </w:p>
    <w:p w14:paraId="6AEDAC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Cs/>
          <w:sz w:val="32"/>
          <w:szCs w:val="32"/>
        </w:rPr>
      </w:pPr>
      <w:r>
        <w:rPr>
          <w:rFonts w:hint="eastAsia" w:ascii="黑体" w:hAnsi="黑体" w:eastAsia="黑体" w:cs="黑体"/>
          <w:bCs/>
          <w:sz w:val="32"/>
          <w:szCs w:val="32"/>
          <w:lang w:val="en-US" w:eastAsia="zh-CN"/>
        </w:rPr>
        <w:t>三、</w:t>
      </w:r>
      <w:r>
        <w:rPr>
          <w:rFonts w:hint="eastAsia" w:ascii="黑体" w:hAnsi="黑体" w:eastAsia="黑体" w:cs="黑体"/>
          <w:bCs/>
          <w:sz w:val="32"/>
          <w:szCs w:val="32"/>
        </w:rPr>
        <w:t>项目组织实施情况</w:t>
      </w:r>
    </w:p>
    <w:p w14:paraId="7C90806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项目由岳阳市供销合作联社牵头实施，成立了专门的项目领导小组和工作小组，负责项目的整体规划、协调和推进。在项目实施过程中，注重与相关部门和企业的合作，共同推动项目的顺利实施。同时，加强了对项目进展的监控和评估，及时发现问题并采取措施予以解决，确保项目按计划推进。</w:t>
      </w:r>
    </w:p>
    <w:p w14:paraId="49D016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黑体" w:hAnsi="黑体" w:eastAsia="黑体" w:cs="黑体"/>
          <w:bCs/>
          <w:kern w:val="2"/>
          <w:sz w:val="32"/>
          <w:szCs w:val="32"/>
          <w:lang w:val="en-US" w:eastAsia="zh-CN" w:bidi="ar-SA"/>
        </w:rPr>
        <w:t>四、</w:t>
      </w:r>
      <w:r>
        <w:rPr>
          <w:rFonts w:hint="eastAsia" w:ascii="黑体" w:hAnsi="黑体" w:eastAsia="黑体" w:cs="黑体"/>
          <w:bCs/>
          <w:sz w:val="32"/>
          <w:szCs w:val="32"/>
        </w:rPr>
        <w:t>项目</w:t>
      </w:r>
      <w:r>
        <w:rPr>
          <w:rFonts w:hint="eastAsia" w:ascii="黑体" w:hAnsi="黑体" w:eastAsia="黑体" w:cs="黑体"/>
          <w:bCs/>
          <w:sz w:val="32"/>
          <w:szCs w:val="32"/>
          <w:lang w:val="en-US" w:eastAsia="zh-CN"/>
        </w:rPr>
        <w:t>绩效情况分析</w:t>
      </w:r>
    </w:p>
    <w:p w14:paraId="6B9167B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楷体" w:hAnsi="楷体" w:eastAsia="楷体" w:cs="楷体"/>
          <w:bCs/>
          <w:kern w:val="2"/>
          <w:sz w:val="32"/>
          <w:szCs w:val="32"/>
          <w:lang w:val="en-US" w:eastAsia="zh-CN" w:bidi="ar-SA"/>
        </w:rPr>
        <w:t>（一）经济性绩效</w:t>
      </w:r>
    </w:p>
    <w:p w14:paraId="4D28175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1.销售增长与运营成效</w:t>
      </w:r>
    </w:p>
    <w:p w14:paraId="435253D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2024年，农产品线上销售额达到3453万元，超额完成10%的增长目标。其中，保靖县、桑日县等产品销售额达到1492万元，形成跨区域合作亮点，市场化运营能力初步显现。</w:t>
      </w:r>
    </w:p>
    <w:p w14:paraId="7DF114D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2.资源整合与效率提升</w:t>
      </w:r>
    </w:p>
    <w:p w14:paraId="2B2F107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整合全市80%以上规模农产品企业数据，建立涵盖200余个品类的农产品数据库；联动保靖县打造特色农产品供应链，跨区域物流成本降低15%，供应链效率提升20%。</w:t>
      </w:r>
    </w:p>
    <w:p w14:paraId="3AA617C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3.商贸流通优化</w:t>
      </w:r>
    </w:p>
    <w:p w14:paraId="688C382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平台日均处理订单量达100单，有效缓解农产品滞销问题。同时，平抑蔬菜、水果等民生商品价格波动幅度控制在5%以内，保障城乡居民消费稳定。</w:t>
      </w:r>
    </w:p>
    <w:p w14:paraId="19A1D31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楷体" w:hAnsi="楷体" w:eastAsia="楷体" w:cs="楷体"/>
          <w:bCs/>
          <w:kern w:val="2"/>
          <w:sz w:val="32"/>
          <w:szCs w:val="32"/>
          <w:lang w:val="en-US" w:eastAsia="zh-CN" w:bidi="ar-SA"/>
        </w:rPr>
        <w:t>（二）社会性绩效</w:t>
      </w:r>
    </w:p>
    <w:p w14:paraId="4320373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1.助农增收与产业升级</w:t>
      </w:r>
    </w:p>
    <w:p w14:paraId="37AB811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随着农产品线上销售额的增长，直接带动了农民收入的增加。2024年，累计帮助500余户农民实现增收，平均每户年增收3000元以上。保靖县对口帮扶企业销售额增长40%，带动当地100余户农户参与标准化种植，农业产业化水平显著提升。同时，平台的运营与相关产业的发展为当地提供了50个以上的就近就业岗位，间接带动了物流配送、农副产品加工等关联产业的就业机会增加，有效缓解了农村就业压力，促进了农村社会稳定与和谐发展。</w:t>
      </w:r>
    </w:p>
    <w:p w14:paraId="1307D05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2.质量安全与消费保障</w:t>
      </w:r>
    </w:p>
    <w:p w14:paraId="7681B8F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建立农产品质量管理体系，入驻企业100%提供质检报告，消费者投诉率较2023年下降20%，促进了农产品质量安全升级，保障了人民生活健康，减少了中间环节，提高了农产品品质。</w:t>
      </w:r>
    </w:p>
    <w:p w14:paraId="1D02C6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Cs/>
          <w:sz w:val="32"/>
          <w:szCs w:val="32"/>
          <w:lang w:val="en-US" w:eastAsia="zh-CN"/>
        </w:rPr>
      </w:pPr>
      <w:r>
        <w:rPr>
          <w:rFonts w:hint="eastAsia" w:ascii="黑体" w:hAnsi="黑体" w:eastAsia="黑体" w:cs="黑体"/>
          <w:bCs/>
          <w:sz w:val="32"/>
          <w:szCs w:val="32"/>
          <w:lang w:val="en-US" w:eastAsia="zh-CN"/>
        </w:rPr>
        <w:t>五、综合评价情况及评价结论</w:t>
      </w:r>
    </w:p>
    <w:p w14:paraId="1DCE1F3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项目综合得分为</w:t>
      </w:r>
      <w:r>
        <w:rPr>
          <w:rFonts w:hint="eastAsia" w:ascii="Times New Roman" w:hAnsi="Times New Roman" w:eastAsia="仿宋_GB2312" w:cs="Times New Roman"/>
          <w:bCs/>
          <w:kern w:val="2"/>
          <w:sz w:val="32"/>
          <w:szCs w:val="32"/>
          <w:lang w:val="en-US" w:eastAsia="zh-CN" w:bidi="ar-SA"/>
        </w:rPr>
        <w:t>99.6</w:t>
      </w:r>
      <w:r>
        <w:rPr>
          <w:rFonts w:hint="default" w:ascii="Times New Roman" w:hAnsi="Times New Roman" w:eastAsia="仿宋_GB2312" w:cs="Times New Roman"/>
          <w:bCs/>
          <w:kern w:val="2"/>
          <w:sz w:val="32"/>
          <w:szCs w:val="32"/>
          <w:lang w:val="en-US" w:eastAsia="zh-CN" w:bidi="ar-SA"/>
        </w:rPr>
        <w:t>分（满分100分），整体绩效良好。主要成效包括：</w:t>
      </w:r>
    </w:p>
    <w:p w14:paraId="0219DEA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年度资金总额（10分）</w:t>
      </w:r>
      <w:r>
        <w:rPr>
          <w:rFonts w:hint="default" w:ascii="Times New Roman" w:hAnsi="Times New Roman" w:eastAsia="仿宋_GB2312" w:cs="Times New Roman"/>
          <w:bCs/>
          <w:kern w:val="2"/>
          <w:sz w:val="32"/>
          <w:szCs w:val="32"/>
          <w:lang w:val="en-US" w:eastAsia="zh-CN" w:bidi="ar-SA"/>
        </w:rPr>
        <w:t>：</w:t>
      </w:r>
      <w:r>
        <w:rPr>
          <w:rFonts w:hint="eastAsia" w:ascii="Times New Roman" w:hAnsi="Times New Roman" w:eastAsia="仿宋_GB2312" w:cs="Times New Roman"/>
          <w:bCs/>
          <w:kern w:val="2"/>
          <w:sz w:val="32"/>
          <w:szCs w:val="32"/>
          <w:lang w:val="en-US" w:eastAsia="zh-CN" w:bidi="ar-SA"/>
        </w:rPr>
        <w:t>2024年全年预算数956296.44元，实际执行数915660.54元，尽管执行率较高，但因平台技术仍需进一步完善，特别是在用户体验优化、大数据分析应用及安全防护等方面存在提升空间，导致部分预算未全额执行，得分9.6分。</w:t>
      </w:r>
    </w:p>
    <w:p w14:paraId="5338A04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产出指标（50分）：企业入驻、产品资质、运营周期等均超额或达标完成，得分50分。</w:t>
      </w:r>
    </w:p>
    <w:p w14:paraId="06CBA49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效益指标（30分）：经济、社会、生态效益均达预期，得分30分。</w:t>
      </w:r>
    </w:p>
    <w:p w14:paraId="0CEF992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满意度指标（10分）：服务对象满意度达98%，得分10分。</w:t>
      </w:r>
    </w:p>
    <w:p w14:paraId="597AF6C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该项目在2024年的实施过程中，目标明确、组织管理规范、资金使用合理、实施效果显著，有效推动了岳阳市农村电商产业的发展，实现了预期的经济效益、社会效益、生态效益以及可持续影响目标，为助力乡村振兴战略实施发挥了积极作用。</w:t>
      </w:r>
    </w:p>
    <w:p w14:paraId="50372D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Cs/>
          <w:sz w:val="32"/>
          <w:szCs w:val="32"/>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存在</w:t>
      </w:r>
      <w:r>
        <w:rPr>
          <w:rFonts w:hint="eastAsia" w:ascii="黑体" w:hAnsi="黑体" w:eastAsia="黑体" w:cs="黑体"/>
          <w:bCs/>
          <w:sz w:val="32"/>
          <w:szCs w:val="32"/>
          <w:lang w:eastAsia="zh-CN"/>
        </w:rPr>
        <w:t>的</w:t>
      </w:r>
      <w:r>
        <w:rPr>
          <w:rFonts w:hint="eastAsia" w:ascii="黑体" w:hAnsi="黑体" w:eastAsia="黑体" w:cs="黑体"/>
          <w:bCs/>
          <w:sz w:val="32"/>
          <w:szCs w:val="32"/>
        </w:rPr>
        <w:t>问题</w:t>
      </w:r>
    </w:p>
    <w:p w14:paraId="18710CC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eastAsia" w:ascii="楷体" w:hAnsi="楷体" w:eastAsia="楷体" w:cs="楷体"/>
          <w:bCs/>
          <w:kern w:val="2"/>
          <w:sz w:val="32"/>
          <w:szCs w:val="32"/>
          <w:lang w:val="en-US" w:eastAsia="zh-CN" w:bidi="ar-SA"/>
        </w:rPr>
        <w:t>（一）农产品品牌化不足</w:t>
      </w:r>
    </w:p>
    <w:p w14:paraId="639C9E1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入驻企业以初级农产品为主，深加工产品占比低，品牌溢价能力弱</w:t>
      </w:r>
      <w:r>
        <w:rPr>
          <w:rFonts w:hint="eastAsia" w:ascii="Times New Roman" w:hAnsi="Times New Roman" w:eastAsia="仿宋_GB2312" w:cs="Times New Roman"/>
          <w:bCs/>
          <w:kern w:val="2"/>
          <w:sz w:val="32"/>
          <w:szCs w:val="32"/>
          <w:lang w:val="en-US" w:eastAsia="zh-CN" w:bidi="ar-SA"/>
        </w:rPr>
        <w:t>。</w:t>
      </w:r>
    </w:p>
    <w:p w14:paraId="64ABA5D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楷体" w:hAnsi="楷体" w:eastAsia="楷体" w:cs="楷体"/>
          <w:bCs/>
          <w:kern w:val="2"/>
          <w:sz w:val="32"/>
          <w:szCs w:val="32"/>
          <w:lang w:val="en-US" w:eastAsia="zh-CN" w:bidi="ar-SA"/>
        </w:rPr>
        <w:t>（二）物流成本仍然较高</w:t>
      </w:r>
    </w:p>
    <w:p w14:paraId="727CDAA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尽管通过与快递物流企业合作，优化了物流配送网络，但由于部分地区分布分散，</w:t>
      </w:r>
      <w:r>
        <w:rPr>
          <w:rFonts w:hint="default" w:ascii="Times New Roman" w:hAnsi="Times New Roman" w:eastAsia="仿宋_GB2312" w:cs="Times New Roman"/>
          <w:bCs/>
          <w:kern w:val="2"/>
          <w:sz w:val="32"/>
          <w:szCs w:val="32"/>
          <w:lang w:val="en-US" w:eastAsia="zh-CN" w:bidi="ar-SA"/>
        </w:rPr>
        <w:t>无法实现“次日达”</w:t>
      </w:r>
      <w:r>
        <w:rPr>
          <w:rFonts w:hint="eastAsia" w:ascii="Times New Roman" w:hAnsi="Times New Roman" w:eastAsia="仿宋_GB2312" w:cs="Times New Roman"/>
          <w:bCs/>
          <w:kern w:val="2"/>
          <w:sz w:val="32"/>
          <w:szCs w:val="32"/>
          <w:lang w:val="en-US" w:eastAsia="zh-CN" w:bidi="ar-SA"/>
        </w:rPr>
        <w:t>，农产品上行物流配送成本仍然较高，削弱了农产品在电商市场的价格竞争力，限制了农村电商的进一步发展。</w:t>
      </w:r>
    </w:p>
    <w:p w14:paraId="21454D4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楷体" w:hAnsi="楷体" w:eastAsia="楷体" w:cs="楷体"/>
          <w:bCs/>
          <w:kern w:val="2"/>
          <w:sz w:val="32"/>
          <w:szCs w:val="32"/>
          <w:lang w:val="en-US" w:eastAsia="zh-CN" w:bidi="ar-SA"/>
        </w:rPr>
        <w:t>（三）电商直播行业发展相对滞后</w:t>
      </w:r>
    </w:p>
    <w:p w14:paraId="4547EFA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与省内外电子商务发达地区相比，岳阳市的电商直播行业发展仍处于起步阶段，缺乏专业的直播团队与网红主播，直播带货的效果与影响力有限，未能充分发挥直播电商在农产品销售中的重要作用。</w:t>
      </w:r>
    </w:p>
    <w:p w14:paraId="59DE013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eastAsia" w:ascii="楷体" w:hAnsi="楷体" w:eastAsia="楷体" w:cs="楷体"/>
          <w:bCs/>
          <w:kern w:val="2"/>
          <w:sz w:val="32"/>
          <w:szCs w:val="32"/>
          <w:lang w:val="en-US" w:eastAsia="zh-CN" w:bidi="ar-SA"/>
        </w:rPr>
        <w:t>（四）</w:t>
      </w:r>
      <w:r>
        <w:rPr>
          <w:rFonts w:hint="default" w:ascii="楷体" w:hAnsi="楷体" w:eastAsia="楷体" w:cs="楷体"/>
          <w:bCs/>
          <w:kern w:val="2"/>
          <w:sz w:val="32"/>
          <w:szCs w:val="32"/>
          <w:lang w:val="en-US" w:eastAsia="zh-CN" w:bidi="ar-SA"/>
        </w:rPr>
        <w:t>平台活跃度待提升</w:t>
      </w:r>
    </w:p>
    <w:p w14:paraId="7E4FC38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用户日均访问量不足，互动率（评论、分享）有待提高，需进一步加大平台推广力度，提升用户粘性。</w:t>
      </w:r>
    </w:p>
    <w:p w14:paraId="1A734C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Cs/>
          <w:sz w:val="32"/>
          <w:szCs w:val="32"/>
          <w:lang w:val="en-US" w:eastAsia="zh-CN"/>
        </w:rPr>
      </w:pPr>
      <w:r>
        <w:rPr>
          <w:rFonts w:hint="eastAsia" w:ascii="黑体" w:hAnsi="黑体" w:eastAsia="黑体" w:cs="黑体"/>
          <w:bCs/>
          <w:kern w:val="2"/>
          <w:sz w:val="32"/>
          <w:szCs w:val="32"/>
          <w:lang w:val="en-US" w:eastAsia="zh-CN" w:bidi="ar-SA"/>
        </w:rPr>
        <w:t>七、</w:t>
      </w:r>
      <w:r>
        <w:rPr>
          <w:rFonts w:hint="eastAsia" w:ascii="黑体" w:hAnsi="黑体" w:eastAsia="黑体" w:cs="黑体"/>
          <w:bCs/>
          <w:sz w:val="32"/>
          <w:szCs w:val="32"/>
          <w:lang w:val="en-US" w:eastAsia="zh-CN"/>
        </w:rPr>
        <w:t>工作建议</w:t>
      </w:r>
    </w:p>
    <w:p w14:paraId="1A97F2E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eastAsia" w:ascii="楷体" w:hAnsi="楷体" w:eastAsia="楷体" w:cs="楷体"/>
          <w:bCs/>
          <w:kern w:val="2"/>
          <w:sz w:val="32"/>
          <w:szCs w:val="32"/>
          <w:lang w:val="en-US" w:eastAsia="zh-CN" w:bidi="ar-SA"/>
        </w:rPr>
        <w:t>（一）</w:t>
      </w:r>
      <w:r>
        <w:rPr>
          <w:rFonts w:hint="default" w:ascii="楷体" w:hAnsi="楷体" w:eastAsia="楷体" w:cs="楷体"/>
          <w:bCs/>
          <w:kern w:val="2"/>
          <w:sz w:val="32"/>
          <w:szCs w:val="32"/>
          <w:lang w:val="en-US" w:eastAsia="zh-CN" w:bidi="ar-SA"/>
        </w:rPr>
        <w:t>加强农产品品牌建设</w:t>
      </w:r>
    </w:p>
    <w:p w14:paraId="2580CCF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加大对农产品深加工产品的支持力度，提升品牌溢价能力，提高市场竞争力。同时，积极组织入驻企业参加各类农产品展销会、博览会等活动，为企业提供与国内外知名农产品品牌交流合作的机会，提升品牌知名度和市场影响力。</w:t>
      </w:r>
    </w:p>
    <w:p w14:paraId="0320141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eastAsia" w:ascii="楷体" w:hAnsi="楷体" w:eastAsia="楷体" w:cs="楷体"/>
          <w:bCs/>
          <w:kern w:val="2"/>
          <w:sz w:val="32"/>
          <w:szCs w:val="32"/>
          <w:lang w:val="en-US" w:eastAsia="zh-CN" w:bidi="ar-SA"/>
        </w:rPr>
        <w:t>（二）</w:t>
      </w:r>
      <w:r>
        <w:rPr>
          <w:rFonts w:hint="default" w:ascii="楷体" w:hAnsi="楷体" w:eastAsia="楷体" w:cs="楷体"/>
          <w:bCs/>
          <w:kern w:val="2"/>
          <w:sz w:val="32"/>
          <w:szCs w:val="32"/>
          <w:lang w:val="en-US" w:eastAsia="zh-CN" w:bidi="ar-SA"/>
        </w:rPr>
        <w:t>降低物流成本</w:t>
      </w:r>
    </w:p>
    <w:p w14:paraId="525FF3F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加强与物流企业的合作，进一步优化配送网络，降低物流成本，特别是偏远地区的配送时效和服务质量。积极争取政府政策支持与资金补贴，降低农产品上行物流费用，提高物流配送效率与服务质量，增强农产品在电商市场的竞争力。</w:t>
      </w:r>
    </w:p>
    <w:p w14:paraId="3844435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eastAsia" w:ascii="楷体" w:hAnsi="楷体" w:eastAsia="楷体" w:cs="楷体"/>
          <w:bCs/>
          <w:kern w:val="2"/>
          <w:sz w:val="32"/>
          <w:szCs w:val="32"/>
          <w:lang w:val="en-US" w:eastAsia="zh-CN" w:bidi="ar-SA"/>
        </w:rPr>
        <w:t>（三）</w:t>
      </w:r>
      <w:r>
        <w:rPr>
          <w:rFonts w:hint="default" w:ascii="楷体" w:hAnsi="楷体" w:eastAsia="楷体" w:cs="楷体"/>
          <w:bCs/>
          <w:kern w:val="2"/>
          <w:sz w:val="32"/>
          <w:szCs w:val="32"/>
          <w:lang w:val="en-US" w:eastAsia="zh-CN" w:bidi="ar-SA"/>
        </w:rPr>
        <w:t>提升平台活跃度</w:t>
      </w:r>
    </w:p>
    <w:p w14:paraId="1A69F08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加大宣传推广力度，通过线上线下多渠道宣传，提高平台的知名度和影响力。优化用户体验，根据用户反馈不断完善平台功能，提升平台的用户友好性和操作便捷性。同时，采取有效的用户留存策略，如推出会员制度、积分兑换等，提高用户的粘性和忠诚度。</w:t>
      </w:r>
    </w:p>
    <w:p w14:paraId="479DC492">
      <w:pPr>
        <w:spacing w:before="228" w:line="196" w:lineRule="auto"/>
        <w:rPr>
          <w:rFonts w:ascii="宋体" w:hAnsi="宋体" w:eastAsia="宋体" w:cs="宋体"/>
          <w:b/>
          <w:bCs/>
          <w:spacing w:val="-4"/>
          <w:sz w:val="41"/>
          <w:szCs w:val="41"/>
        </w:rPr>
      </w:pPr>
    </w:p>
    <w:p w14:paraId="09BC9A28">
      <w:pPr>
        <w:spacing w:before="228" w:line="196" w:lineRule="auto"/>
        <w:ind w:left="2060"/>
        <w:rPr>
          <w:rFonts w:ascii="宋体" w:hAnsi="宋体" w:eastAsia="宋体" w:cs="宋体"/>
          <w:b/>
          <w:bCs/>
          <w:spacing w:val="-4"/>
          <w:sz w:val="41"/>
          <w:szCs w:val="41"/>
        </w:rPr>
      </w:pPr>
    </w:p>
    <w:p w14:paraId="33E2C40D">
      <w:pPr>
        <w:spacing w:before="228" w:line="196" w:lineRule="auto"/>
        <w:ind w:left="2060"/>
        <w:rPr>
          <w:rFonts w:ascii="宋体" w:hAnsi="宋体" w:eastAsia="宋体" w:cs="宋体"/>
          <w:b/>
          <w:bCs/>
          <w:spacing w:val="-4"/>
          <w:sz w:val="41"/>
          <w:szCs w:val="41"/>
        </w:rPr>
      </w:pPr>
      <w:r>
        <w:rPr>
          <w:rFonts w:ascii="宋体" w:hAnsi="宋体" w:eastAsia="宋体" w:cs="宋体"/>
          <w:b/>
          <w:bCs/>
          <w:spacing w:val="-4"/>
          <w:sz w:val="41"/>
          <w:szCs w:val="41"/>
        </w:rPr>
        <w:t>2024年度项目支出绩效自评表</w:t>
      </w:r>
    </w:p>
    <w:p w14:paraId="223F3F73">
      <w:pPr>
        <w:pStyle w:val="6"/>
        <w:rPr>
          <w:rFonts w:ascii="宋体" w:hAnsi="宋体" w:eastAsia="宋体" w:cs="宋体"/>
          <w:b/>
          <w:bCs/>
          <w:spacing w:val="-4"/>
          <w:sz w:val="41"/>
          <w:szCs w:val="41"/>
        </w:rPr>
      </w:pPr>
    </w:p>
    <w:tbl>
      <w:tblPr>
        <w:tblStyle w:val="7"/>
        <w:tblW w:w="10350" w:type="dxa"/>
        <w:tblInd w:w="-5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5"/>
        <w:gridCol w:w="1004"/>
        <w:gridCol w:w="990"/>
        <w:gridCol w:w="1536"/>
        <w:gridCol w:w="1433"/>
        <w:gridCol w:w="1411"/>
        <w:gridCol w:w="690"/>
        <w:gridCol w:w="849"/>
        <w:gridCol w:w="772"/>
      </w:tblGrid>
      <w:tr w14:paraId="4C71B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665" w:type="dxa"/>
            <w:vAlign w:val="center"/>
          </w:tcPr>
          <w:p w14:paraId="5298ADB0">
            <w:pPr>
              <w:spacing w:before="74" w:line="220" w:lineRule="auto"/>
              <w:ind w:left="194"/>
              <w:jc w:val="center"/>
              <w:rPr>
                <w:rFonts w:hint="eastAsia" w:ascii="仿宋" w:hAnsi="仿宋" w:eastAsia="仿宋" w:cs="仿宋"/>
                <w:sz w:val="22"/>
                <w:szCs w:val="22"/>
              </w:rPr>
            </w:pPr>
            <w:r>
              <w:rPr>
                <w:rFonts w:hint="eastAsia" w:ascii="仿宋" w:hAnsi="仿宋" w:eastAsia="仿宋" w:cs="仿宋"/>
                <w:spacing w:val="4"/>
                <w:sz w:val="22"/>
                <w:szCs w:val="22"/>
              </w:rPr>
              <w:t>项目支</w:t>
            </w:r>
            <w:r>
              <w:rPr>
                <w:rFonts w:hint="eastAsia" w:ascii="仿宋" w:hAnsi="仿宋" w:eastAsia="仿宋" w:cs="仿宋"/>
                <w:spacing w:val="3"/>
                <w:sz w:val="22"/>
                <w:szCs w:val="22"/>
              </w:rPr>
              <w:t>出名称</w:t>
            </w:r>
          </w:p>
        </w:tc>
        <w:tc>
          <w:tcPr>
            <w:tcW w:w="8685" w:type="dxa"/>
            <w:gridSpan w:val="8"/>
            <w:vAlign w:val="center"/>
          </w:tcPr>
          <w:p w14:paraId="3CE0BB3D">
            <w:pPr>
              <w:pStyle w:val="8"/>
              <w:jc w:val="center"/>
              <w:rPr>
                <w:rFonts w:hint="eastAsia" w:ascii="仿宋" w:hAnsi="仿宋" w:eastAsia="仿宋" w:cs="仿宋"/>
              </w:rPr>
            </w:pPr>
            <w:r>
              <w:rPr>
                <w:rFonts w:hint="eastAsia" w:ascii="仿宋" w:hAnsi="仿宋" w:eastAsia="仿宋" w:cs="仿宋"/>
                <w:kern w:val="0"/>
                <w:sz w:val="24"/>
                <w:lang w:val="en-US" w:eastAsia="zh-CN"/>
              </w:rPr>
              <w:t>岳阳市农村电商平台项目</w:t>
            </w:r>
          </w:p>
        </w:tc>
      </w:tr>
      <w:tr w14:paraId="6ED64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665" w:type="dxa"/>
            <w:vAlign w:val="center"/>
          </w:tcPr>
          <w:p w14:paraId="4DEBF95F">
            <w:pPr>
              <w:spacing w:before="60" w:line="217" w:lineRule="auto"/>
              <w:ind w:left="84"/>
              <w:jc w:val="center"/>
              <w:rPr>
                <w:rFonts w:hint="eastAsia" w:ascii="仿宋" w:hAnsi="仿宋" w:eastAsia="仿宋" w:cs="仿宋"/>
                <w:sz w:val="22"/>
                <w:szCs w:val="22"/>
              </w:rPr>
            </w:pPr>
            <w:r>
              <w:rPr>
                <w:rFonts w:hint="eastAsia" w:ascii="仿宋" w:hAnsi="仿宋" w:eastAsia="仿宋" w:cs="仿宋"/>
                <w:spacing w:val="6"/>
                <w:sz w:val="22"/>
                <w:szCs w:val="22"/>
              </w:rPr>
              <w:t>主管部门</w:t>
            </w:r>
          </w:p>
        </w:tc>
        <w:tc>
          <w:tcPr>
            <w:tcW w:w="4963" w:type="dxa"/>
            <w:gridSpan w:val="4"/>
            <w:vAlign w:val="center"/>
          </w:tcPr>
          <w:p w14:paraId="33DA4F87">
            <w:pPr>
              <w:pStyle w:val="8"/>
              <w:jc w:val="center"/>
              <w:rPr>
                <w:rFonts w:hint="default" w:ascii="仿宋" w:hAnsi="仿宋" w:eastAsia="仿宋" w:cs="仿宋"/>
                <w:lang w:val="en-US" w:eastAsia="zh-CN"/>
              </w:rPr>
            </w:pPr>
            <w:r>
              <w:rPr>
                <w:rFonts w:hint="eastAsia" w:ascii="仿宋" w:hAnsi="仿宋" w:eastAsia="仿宋" w:cs="仿宋"/>
                <w:lang w:val="en-US" w:eastAsia="zh-CN"/>
              </w:rPr>
              <w:t>岳阳市供销合作联社</w:t>
            </w:r>
          </w:p>
        </w:tc>
        <w:tc>
          <w:tcPr>
            <w:tcW w:w="1411" w:type="dxa"/>
            <w:vAlign w:val="center"/>
          </w:tcPr>
          <w:p w14:paraId="6F2CDCA9">
            <w:pPr>
              <w:spacing w:before="60" w:line="217" w:lineRule="auto"/>
              <w:ind w:left="115"/>
              <w:jc w:val="center"/>
              <w:rPr>
                <w:rFonts w:hint="eastAsia" w:ascii="仿宋" w:hAnsi="仿宋" w:eastAsia="仿宋" w:cs="仿宋"/>
                <w:sz w:val="22"/>
                <w:szCs w:val="22"/>
              </w:rPr>
            </w:pPr>
            <w:r>
              <w:rPr>
                <w:rFonts w:hint="eastAsia" w:ascii="仿宋" w:hAnsi="仿宋" w:eastAsia="仿宋" w:cs="仿宋"/>
                <w:spacing w:val="2"/>
                <w:sz w:val="22"/>
                <w:szCs w:val="22"/>
              </w:rPr>
              <w:t>实施单位</w:t>
            </w:r>
          </w:p>
        </w:tc>
        <w:tc>
          <w:tcPr>
            <w:tcW w:w="2311" w:type="dxa"/>
            <w:gridSpan w:val="3"/>
            <w:vAlign w:val="center"/>
          </w:tcPr>
          <w:p w14:paraId="1CB2E62D">
            <w:pPr>
              <w:pStyle w:val="8"/>
              <w:jc w:val="center"/>
              <w:rPr>
                <w:rFonts w:hint="eastAsia" w:ascii="仿宋" w:hAnsi="仿宋" w:eastAsia="仿宋" w:cs="仿宋"/>
              </w:rPr>
            </w:pPr>
            <w:r>
              <w:rPr>
                <w:rFonts w:hint="eastAsia" w:ascii="仿宋" w:hAnsi="仿宋" w:eastAsia="仿宋" w:cs="仿宋"/>
                <w:sz w:val="22"/>
                <w:szCs w:val="22"/>
                <w:lang w:eastAsia="zh-CN"/>
              </w:rPr>
              <w:t>岳阳供销电子商务有限公司</w:t>
            </w:r>
          </w:p>
        </w:tc>
      </w:tr>
      <w:tr w14:paraId="16573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665" w:type="dxa"/>
            <w:vMerge w:val="restart"/>
            <w:tcBorders>
              <w:bottom w:val="nil"/>
            </w:tcBorders>
            <w:vAlign w:val="center"/>
          </w:tcPr>
          <w:p w14:paraId="61EAA693">
            <w:pPr>
              <w:spacing w:before="71" w:line="220" w:lineRule="auto"/>
              <w:ind w:left="84"/>
              <w:jc w:val="center"/>
              <w:rPr>
                <w:rFonts w:hint="eastAsia" w:ascii="仿宋" w:hAnsi="仿宋" w:eastAsia="仿宋" w:cs="仿宋"/>
                <w:sz w:val="22"/>
                <w:szCs w:val="22"/>
              </w:rPr>
            </w:pPr>
            <w:r>
              <w:rPr>
                <w:rFonts w:hint="eastAsia" w:ascii="仿宋" w:hAnsi="仿宋" w:eastAsia="仿宋" w:cs="仿宋"/>
                <w:spacing w:val="2"/>
                <w:sz w:val="22"/>
                <w:szCs w:val="22"/>
              </w:rPr>
              <w:t>项目资金</w:t>
            </w:r>
            <w:r>
              <w:rPr>
                <w:rFonts w:hint="eastAsia" w:ascii="仿宋" w:hAnsi="仿宋" w:eastAsia="仿宋" w:cs="仿宋"/>
                <w:spacing w:val="12"/>
                <w:sz w:val="22"/>
                <w:szCs w:val="22"/>
              </w:rPr>
              <w:t>(万元)</w:t>
            </w:r>
          </w:p>
        </w:tc>
        <w:tc>
          <w:tcPr>
            <w:tcW w:w="1994" w:type="dxa"/>
            <w:gridSpan w:val="2"/>
            <w:vAlign w:val="center"/>
          </w:tcPr>
          <w:p w14:paraId="5D4A299A">
            <w:pPr>
              <w:pStyle w:val="8"/>
              <w:jc w:val="center"/>
              <w:rPr>
                <w:rFonts w:hint="eastAsia" w:ascii="仿宋" w:hAnsi="仿宋" w:eastAsia="仿宋" w:cs="仿宋"/>
              </w:rPr>
            </w:pPr>
          </w:p>
        </w:tc>
        <w:tc>
          <w:tcPr>
            <w:tcW w:w="1536" w:type="dxa"/>
            <w:vAlign w:val="center"/>
          </w:tcPr>
          <w:p w14:paraId="1D4273A6">
            <w:pPr>
              <w:spacing w:before="60" w:line="230" w:lineRule="auto"/>
              <w:ind w:right="236"/>
              <w:jc w:val="center"/>
              <w:rPr>
                <w:rFonts w:hint="eastAsia" w:ascii="仿宋" w:hAnsi="仿宋" w:eastAsia="仿宋" w:cs="仿宋"/>
                <w:sz w:val="22"/>
                <w:szCs w:val="22"/>
              </w:rPr>
            </w:pPr>
            <w:r>
              <w:rPr>
                <w:rFonts w:hint="eastAsia" w:ascii="仿宋" w:hAnsi="仿宋" w:eastAsia="仿宋" w:cs="仿宋"/>
                <w:spacing w:val="6"/>
                <w:sz w:val="22"/>
                <w:szCs w:val="22"/>
              </w:rPr>
              <w:t>年初</w:t>
            </w:r>
            <w:r>
              <w:rPr>
                <w:rFonts w:hint="eastAsia" w:ascii="仿宋" w:hAnsi="仿宋" w:eastAsia="仿宋" w:cs="仿宋"/>
                <w:spacing w:val="-4"/>
                <w:sz w:val="22"/>
                <w:szCs w:val="22"/>
              </w:rPr>
              <w:t>预算数</w:t>
            </w:r>
          </w:p>
        </w:tc>
        <w:tc>
          <w:tcPr>
            <w:tcW w:w="1433" w:type="dxa"/>
            <w:vAlign w:val="center"/>
          </w:tcPr>
          <w:p w14:paraId="647D59DA">
            <w:pPr>
              <w:spacing w:before="51" w:line="234" w:lineRule="auto"/>
              <w:ind w:right="274"/>
              <w:jc w:val="center"/>
              <w:rPr>
                <w:rFonts w:hint="eastAsia" w:ascii="仿宋" w:hAnsi="仿宋" w:eastAsia="仿宋" w:cs="仿宋"/>
                <w:sz w:val="22"/>
                <w:szCs w:val="22"/>
              </w:rPr>
            </w:pPr>
            <w:r>
              <w:rPr>
                <w:rFonts w:hint="eastAsia" w:ascii="仿宋" w:hAnsi="仿宋" w:eastAsia="仿宋" w:cs="仿宋"/>
                <w:spacing w:val="-5"/>
                <w:sz w:val="22"/>
                <w:szCs w:val="22"/>
              </w:rPr>
              <w:t>全年</w:t>
            </w:r>
            <w:r>
              <w:rPr>
                <w:rFonts w:hint="eastAsia" w:ascii="仿宋" w:hAnsi="仿宋" w:eastAsia="仿宋" w:cs="仿宋"/>
                <w:spacing w:val="-4"/>
                <w:sz w:val="22"/>
                <w:szCs w:val="22"/>
              </w:rPr>
              <w:t>预算数</w:t>
            </w:r>
          </w:p>
        </w:tc>
        <w:tc>
          <w:tcPr>
            <w:tcW w:w="1411" w:type="dxa"/>
            <w:vAlign w:val="center"/>
          </w:tcPr>
          <w:p w14:paraId="5A23404F">
            <w:pPr>
              <w:spacing w:before="70" w:line="226" w:lineRule="auto"/>
              <w:ind w:right="241"/>
              <w:jc w:val="center"/>
              <w:rPr>
                <w:rFonts w:hint="eastAsia" w:ascii="仿宋" w:hAnsi="仿宋" w:eastAsia="仿宋" w:cs="仿宋"/>
                <w:sz w:val="22"/>
                <w:szCs w:val="22"/>
              </w:rPr>
            </w:pPr>
            <w:r>
              <w:rPr>
                <w:rFonts w:hint="eastAsia" w:ascii="仿宋" w:hAnsi="仿宋" w:eastAsia="仿宋" w:cs="仿宋"/>
                <w:spacing w:val="-5"/>
                <w:sz w:val="22"/>
                <w:szCs w:val="22"/>
              </w:rPr>
              <w:t>全年</w:t>
            </w:r>
            <w:r>
              <w:rPr>
                <w:rFonts w:hint="eastAsia" w:ascii="仿宋" w:hAnsi="仿宋" w:eastAsia="仿宋" w:cs="仿宋"/>
                <w:spacing w:val="-3"/>
                <w:sz w:val="22"/>
                <w:szCs w:val="22"/>
              </w:rPr>
              <w:t>执行数</w:t>
            </w:r>
          </w:p>
        </w:tc>
        <w:tc>
          <w:tcPr>
            <w:tcW w:w="690" w:type="dxa"/>
            <w:vAlign w:val="center"/>
          </w:tcPr>
          <w:p w14:paraId="2D747070">
            <w:pPr>
              <w:spacing w:before="201" w:line="219" w:lineRule="auto"/>
              <w:jc w:val="center"/>
              <w:rPr>
                <w:rFonts w:hint="eastAsia" w:ascii="仿宋" w:hAnsi="仿宋" w:eastAsia="仿宋" w:cs="仿宋"/>
                <w:sz w:val="22"/>
                <w:szCs w:val="22"/>
              </w:rPr>
            </w:pPr>
            <w:r>
              <w:rPr>
                <w:rFonts w:hint="eastAsia" w:ascii="仿宋" w:hAnsi="仿宋" w:eastAsia="仿宋" w:cs="仿宋"/>
                <w:spacing w:val="-3"/>
                <w:sz w:val="22"/>
                <w:szCs w:val="22"/>
              </w:rPr>
              <w:t>分值</w:t>
            </w:r>
          </w:p>
        </w:tc>
        <w:tc>
          <w:tcPr>
            <w:tcW w:w="849" w:type="dxa"/>
            <w:vAlign w:val="center"/>
          </w:tcPr>
          <w:p w14:paraId="775F1F92">
            <w:pPr>
              <w:spacing w:before="201" w:line="219" w:lineRule="auto"/>
              <w:jc w:val="center"/>
              <w:rPr>
                <w:rFonts w:hint="eastAsia" w:ascii="仿宋" w:hAnsi="仿宋" w:eastAsia="仿宋" w:cs="仿宋"/>
                <w:sz w:val="22"/>
                <w:szCs w:val="22"/>
              </w:rPr>
            </w:pPr>
            <w:r>
              <w:rPr>
                <w:rFonts w:hint="eastAsia" w:ascii="仿宋" w:hAnsi="仿宋" w:eastAsia="仿宋" w:cs="仿宋"/>
                <w:spacing w:val="-2"/>
                <w:sz w:val="22"/>
                <w:szCs w:val="22"/>
              </w:rPr>
              <w:t>执行率</w:t>
            </w:r>
          </w:p>
        </w:tc>
        <w:tc>
          <w:tcPr>
            <w:tcW w:w="772" w:type="dxa"/>
            <w:vAlign w:val="center"/>
          </w:tcPr>
          <w:p w14:paraId="59A52DA5">
            <w:pPr>
              <w:spacing w:before="201" w:line="219" w:lineRule="auto"/>
              <w:jc w:val="center"/>
              <w:rPr>
                <w:rFonts w:hint="eastAsia" w:ascii="仿宋" w:hAnsi="仿宋" w:eastAsia="仿宋" w:cs="仿宋"/>
                <w:sz w:val="22"/>
                <w:szCs w:val="22"/>
              </w:rPr>
            </w:pPr>
            <w:r>
              <w:rPr>
                <w:rFonts w:hint="eastAsia" w:ascii="仿宋" w:hAnsi="仿宋" w:eastAsia="仿宋" w:cs="仿宋"/>
                <w:spacing w:val="-3"/>
                <w:sz w:val="22"/>
                <w:szCs w:val="22"/>
              </w:rPr>
              <w:t>得分</w:t>
            </w:r>
          </w:p>
        </w:tc>
      </w:tr>
      <w:tr w14:paraId="56370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65" w:type="dxa"/>
            <w:vMerge w:val="continue"/>
            <w:tcBorders>
              <w:top w:val="nil"/>
              <w:bottom w:val="nil"/>
            </w:tcBorders>
            <w:vAlign w:val="center"/>
          </w:tcPr>
          <w:p w14:paraId="52EDEDA2">
            <w:pPr>
              <w:pStyle w:val="8"/>
              <w:jc w:val="center"/>
              <w:rPr>
                <w:rFonts w:hint="eastAsia" w:ascii="仿宋" w:hAnsi="仿宋" w:eastAsia="仿宋" w:cs="仿宋"/>
              </w:rPr>
            </w:pPr>
          </w:p>
        </w:tc>
        <w:tc>
          <w:tcPr>
            <w:tcW w:w="1994" w:type="dxa"/>
            <w:gridSpan w:val="2"/>
            <w:vAlign w:val="center"/>
          </w:tcPr>
          <w:p w14:paraId="448A35AA">
            <w:pPr>
              <w:spacing w:before="62" w:line="219" w:lineRule="auto"/>
              <w:ind w:left="101"/>
              <w:jc w:val="center"/>
              <w:rPr>
                <w:rFonts w:hint="eastAsia" w:ascii="仿宋" w:hAnsi="仿宋" w:eastAsia="仿宋" w:cs="仿宋"/>
                <w:sz w:val="22"/>
                <w:szCs w:val="22"/>
              </w:rPr>
            </w:pPr>
            <w:r>
              <w:rPr>
                <w:rFonts w:hint="eastAsia" w:ascii="仿宋" w:hAnsi="仿宋" w:eastAsia="仿宋" w:cs="仿宋"/>
                <w:spacing w:val="-2"/>
                <w:sz w:val="22"/>
                <w:szCs w:val="22"/>
              </w:rPr>
              <w:t>年度资金总额</w:t>
            </w:r>
          </w:p>
        </w:tc>
        <w:tc>
          <w:tcPr>
            <w:tcW w:w="1536" w:type="dxa"/>
            <w:vAlign w:val="center"/>
          </w:tcPr>
          <w:p w14:paraId="14730150">
            <w:pPr>
              <w:pStyle w:val="8"/>
              <w:jc w:val="center"/>
              <w:rPr>
                <w:rFonts w:hint="eastAsia" w:ascii="仿宋" w:hAnsi="仿宋" w:eastAsia="仿宋" w:cs="仿宋"/>
              </w:rPr>
            </w:pPr>
            <w:r>
              <w:rPr>
                <w:rFonts w:hint="eastAsia" w:ascii="仿宋" w:hAnsi="仿宋" w:eastAsia="仿宋" w:cs="仿宋"/>
              </w:rPr>
              <w:t>956296.44元</w:t>
            </w:r>
          </w:p>
        </w:tc>
        <w:tc>
          <w:tcPr>
            <w:tcW w:w="1433" w:type="dxa"/>
            <w:vAlign w:val="center"/>
          </w:tcPr>
          <w:p w14:paraId="3B3D114F">
            <w:pPr>
              <w:pStyle w:val="8"/>
              <w:jc w:val="center"/>
              <w:rPr>
                <w:rFonts w:hint="eastAsia" w:ascii="仿宋" w:hAnsi="仿宋" w:eastAsia="仿宋" w:cs="仿宋"/>
              </w:rPr>
            </w:pPr>
            <w:r>
              <w:rPr>
                <w:rFonts w:hint="eastAsia" w:ascii="仿宋" w:hAnsi="仿宋" w:eastAsia="仿宋" w:cs="仿宋"/>
              </w:rPr>
              <w:t>956296.44元</w:t>
            </w:r>
          </w:p>
        </w:tc>
        <w:tc>
          <w:tcPr>
            <w:tcW w:w="1411" w:type="dxa"/>
            <w:vAlign w:val="center"/>
          </w:tcPr>
          <w:p w14:paraId="2967E771">
            <w:pPr>
              <w:pStyle w:val="8"/>
              <w:jc w:val="center"/>
              <w:rPr>
                <w:rFonts w:hint="eastAsia" w:ascii="仿宋" w:hAnsi="仿宋" w:eastAsia="仿宋" w:cs="仿宋"/>
              </w:rPr>
            </w:pPr>
            <w:r>
              <w:rPr>
                <w:rFonts w:hint="eastAsia" w:ascii="仿宋" w:hAnsi="仿宋" w:eastAsia="仿宋" w:cs="仿宋"/>
              </w:rPr>
              <w:t>915660.54元</w:t>
            </w:r>
          </w:p>
        </w:tc>
        <w:tc>
          <w:tcPr>
            <w:tcW w:w="690" w:type="dxa"/>
            <w:vAlign w:val="center"/>
          </w:tcPr>
          <w:p w14:paraId="369AC5D1">
            <w:pPr>
              <w:pStyle w:val="8"/>
              <w:jc w:val="center"/>
              <w:rPr>
                <w:rFonts w:hint="eastAsia" w:ascii="仿宋" w:hAnsi="仿宋" w:eastAsia="仿宋" w:cs="仿宋"/>
                <w:sz w:val="22"/>
                <w:szCs w:val="22"/>
              </w:rPr>
            </w:pPr>
            <w:r>
              <w:rPr>
                <w:rFonts w:hint="eastAsia" w:ascii="仿宋" w:hAnsi="仿宋" w:eastAsia="仿宋" w:cs="仿宋"/>
                <w:lang w:val="en-US" w:eastAsia="zh-CN"/>
              </w:rPr>
              <w:t>10</w:t>
            </w:r>
          </w:p>
        </w:tc>
        <w:tc>
          <w:tcPr>
            <w:tcW w:w="849" w:type="dxa"/>
            <w:vAlign w:val="center"/>
          </w:tcPr>
          <w:p w14:paraId="659E3DE9">
            <w:pPr>
              <w:pStyle w:val="8"/>
              <w:jc w:val="center"/>
              <w:rPr>
                <w:rFonts w:hint="default" w:ascii="仿宋" w:hAnsi="仿宋" w:eastAsia="仿宋" w:cs="仿宋"/>
                <w:lang w:val="en-US" w:eastAsia="zh-CN"/>
              </w:rPr>
            </w:pPr>
            <w:r>
              <w:rPr>
                <w:rFonts w:hint="eastAsia" w:ascii="仿宋" w:hAnsi="仿宋" w:eastAsia="仿宋" w:cs="仿宋"/>
                <w:lang w:val="en-US" w:eastAsia="zh-CN"/>
              </w:rPr>
              <w:t>95.75%</w:t>
            </w:r>
          </w:p>
        </w:tc>
        <w:tc>
          <w:tcPr>
            <w:tcW w:w="772" w:type="dxa"/>
            <w:vAlign w:val="center"/>
          </w:tcPr>
          <w:p w14:paraId="1E6510EE">
            <w:pPr>
              <w:pStyle w:val="8"/>
              <w:jc w:val="center"/>
              <w:rPr>
                <w:rFonts w:hint="default" w:ascii="仿宋" w:hAnsi="仿宋" w:eastAsia="仿宋" w:cs="仿宋"/>
                <w:lang w:val="en-US" w:eastAsia="zh-CN"/>
              </w:rPr>
            </w:pPr>
            <w:r>
              <w:rPr>
                <w:rFonts w:hint="eastAsia" w:ascii="仿宋" w:hAnsi="仿宋" w:eastAsia="仿宋" w:cs="仿宋"/>
                <w:lang w:val="en-US" w:eastAsia="zh-CN"/>
              </w:rPr>
              <w:t>9.6</w:t>
            </w:r>
          </w:p>
        </w:tc>
      </w:tr>
      <w:tr w14:paraId="2AAD0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1665" w:type="dxa"/>
            <w:vMerge w:val="continue"/>
            <w:tcBorders>
              <w:top w:val="nil"/>
              <w:bottom w:val="nil"/>
            </w:tcBorders>
            <w:vAlign w:val="center"/>
          </w:tcPr>
          <w:p w14:paraId="46CCBA19">
            <w:pPr>
              <w:pStyle w:val="8"/>
              <w:jc w:val="center"/>
              <w:rPr>
                <w:rFonts w:hint="eastAsia" w:ascii="仿宋" w:hAnsi="仿宋" w:eastAsia="仿宋" w:cs="仿宋"/>
              </w:rPr>
            </w:pPr>
          </w:p>
        </w:tc>
        <w:tc>
          <w:tcPr>
            <w:tcW w:w="1994" w:type="dxa"/>
            <w:gridSpan w:val="2"/>
            <w:vAlign w:val="center"/>
          </w:tcPr>
          <w:p w14:paraId="5B6CC042">
            <w:pPr>
              <w:spacing w:before="62" w:line="219" w:lineRule="auto"/>
              <w:ind w:left="70"/>
              <w:jc w:val="center"/>
              <w:rPr>
                <w:rFonts w:hint="eastAsia" w:ascii="仿宋" w:hAnsi="仿宋" w:eastAsia="仿宋" w:cs="仿宋"/>
                <w:sz w:val="22"/>
                <w:szCs w:val="22"/>
              </w:rPr>
            </w:pPr>
            <w:r>
              <w:rPr>
                <w:rFonts w:hint="eastAsia" w:ascii="仿宋" w:hAnsi="仿宋" w:eastAsia="仿宋" w:cs="仿宋"/>
                <w:spacing w:val="-1"/>
                <w:sz w:val="22"/>
                <w:szCs w:val="22"/>
              </w:rPr>
              <w:t>其中：当年财政拨款</w:t>
            </w:r>
          </w:p>
        </w:tc>
        <w:tc>
          <w:tcPr>
            <w:tcW w:w="1536" w:type="dxa"/>
            <w:vAlign w:val="center"/>
          </w:tcPr>
          <w:p w14:paraId="0008B8CA">
            <w:pPr>
              <w:pStyle w:val="8"/>
              <w:jc w:val="center"/>
              <w:rPr>
                <w:rFonts w:hint="eastAsia" w:ascii="仿宋" w:hAnsi="仿宋" w:eastAsia="仿宋" w:cs="仿宋"/>
              </w:rPr>
            </w:pPr>
            <w:r>
              <w:rPr>
                <w:rFonts w:hint="eastAsia" w:ascii="仿宋" w:hAnsi="仿宋" w:eastAsia="仿宋" w:cs="仿宋"/>
              </w:rPr>
              <w:t>956296.44元</w:t>
            </w:r>
          </w:p>
        </w:tc>
        <w:tc>
          <w:tcPr>
            <w:tcW w:w="1433" w:type="dxa"/>
            <w:vAlign w:val="center"/>
          </w:tcPr>
          <w:p w14:paraId="2815CCE6">
            <w:pPr>
              <w:pStyle w:val="8"/>
              <w:jc w:val="center"/>
              <w:rPr>
                <w:rFonts w:hint="eastAsia" w:ascii="仿宋" w:hAnsi="仿宋" w:eastAsia="仿宋" w:cs="仿宋"/>
              </w:rPr>
            </w:pPr>
            <w:r>
              <w:rPr>
                <w:rFonts w:hint="eastAsia" w:ascii="仿宋" w:hAnsi="仿宋" w:eastAsia="仿宋" w:cs="仿宋"/>
              </w:rPr>
              <w:t>956296.44元</w:t>
            </w:r>
          </w:p>
        </w:tc>
        <w:tc>
          <w:tcPr>
            <w:tcW w:w="1411" w:type="dxa"/>
            <w:vAlign w:val="center"/>
          </w:tcPr>
          <w:p w14:paraId="24F263B2">
            <w:pPr>
              <w:pStyle w:val="8"/>
              <w:jc w:val="center"/>
              <w:rPr>
                <w:rFonts w:hint="eastAsia" w:ascii="仿宋" w:hAnsi="仿宋" w:eastAsia="仿宋" w:cs="仿宋"/>
              </w:rPr>
            </w:pPr>
            <w:r>
              <w:rPr>
                <w:rFonts w:hint="eastAsia" w:ascii="仿宋" w:hAnsi="仿宋" w:eastAsia="仿宋" w:cs="仿宋"/>
              </w:rPr>
              <w:t>915660.54元</w:t>
            </w:r>
          </w:p>
        </w:tc>
        <w:tc>
          <w:tcPr>
            <w:tcW w:w="690" w:type="dxa"/>
            <w:shd w:val="clear" w:color="auto" w:fill="auto"/>
            <w:vAlign w:val="center"/>
          </w:tcPr>
          <w:p w14:paraId="72DBB6D8">
            <w:pPr>
              <w:pStyle w:val="8"/>
              <w:jc w:val="center"/>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lang w:val="en-US" w:eastAsia="zh-CN"/>
              </w:rPr>
              <w:t>10</w:t>
            </w:r>
          </w:p>
        </w:tc>
        <w:tc>
          <w:tcPr>
            <w:tcW w:w="849" w:type="dxa"/>
            <w:shd w:val="clear" w:color="auto" w:fill="auto"/>
            <w:vAlign w:val="center"/>
          </w:tcPr>
          <w:p w14:paraId="0F6305B2">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95.75%</w:t>
            </w:r>
          </w:p>
        </w:tc>
        <w:tc>
          <w:tcPr>
            <w:tcW w:w="772" w:type="dxa"/>
            <w:shd w:val="clear" w:color="auto" w:fill="auto"/>
            <w:vAlign w:val="center"/>
          </w:tcPr>
          <w:p w14:paraId="491E2A8D">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9.6</w:t>
            </w:r>
          </w:p>
        </w:tc>
      </w:tr>
      <w:tr w14:paraId="40741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665" w:type="dxa"/>
            <w:vMerge w:val="continue"/>
            <w:tcBorders>
              <w:top w:val="nil"/>
              <w:bottom w:val="nil"/>
            </w:tcBorders>
            <w:vAlign w:val="center"/>
          </w:tcPr>
          <w:p w14:paraId="6F596984">
            <w:pPr>
              <w:pStyle w:val="8"/>
              <w:jc w:val="center"/>
              <w:rPr>
                <w:rFonts w:hint="eastAsia" w:ascii="仿宋" w:hAnsi="仿宋" w:eastAsia="仿宋" w:cs="仿宋"/>
              </w:rPr>
            </w:pPr>
          </w:p>
        </w:tc>
        <w:tc>
          <w:tcPr>
            <w:tcW w:w="1994" w:type="dxa"/>
            <w:gridSpan w:val="2"/>
            <w:vAlign w:val="center"/>
          </w:tcPr>
          <w:p w14:paraId="0BC2DFEE">
            <w:pPr>
              <w:spacing w:before="62" w:line="219" w:lineRule="auto"/>
              <w:jc w:val="both"/>
              <w:rPr>
                <w:rFonts w:hint="eastAsia" w:ascii="仿宋" w:hAnsi="仿宋" w:eastAsia="仿宋" w:cs="仿宋"/>
                <w:sz w:val="22"/>
                <w:szCs w:val="22"/>
              </w:rPr>
            </w:pPr>
            <w:r>
              <w:rPr>
                <w:rFonts w:hint="eastAsia" w:ascii="仿宋" w:hAnsi="仿宋" w:eastAsia="仿宋" w:cs="仿宋"/>
                <w:spacing w:val="-2"/>
                <w:sz w:val="22"/>
                <w:szCs w:val="22"/>
              </w:rPr>
              <w:t>上年结转资金</w:t>
            </w:r>
          </w:p>
        </w:tc>
        <w:tc>
          <w:tcPr>
            <w:tcW w:w="1536" w:type="dxa"/>
            <w:vAlign w:val="center"/>
          </w:tcPr>
          <w:p w14:paraId="54C5CACF">
            <w:pPr>
              <w:pStyle w:val="8"/>
              <w:jc w:val="center"/>
              <w:rPr>
                <w:rFonts w:hint="eastAsia" w:ascii="仿宋" w:hAnsi="仿宋" w:eastAsia="仿宋" w:cs="仿宋"/>
              </w:rPr>
            </w:pPr>
          </w:p>
        </w:tc>
        <w:tc>
          <w:tcPr>
            <w:tcW w:w="1433" w:type="dxa"/>
            <w:vAlign w:val="center"/>
          </w:tcPr>
          <w:p w14:paraId="4A091899">
            <w:pPr>
              <w:pStyle w:val="8"/>
              <w:jc w:val="center"/>
              <w:rPr>
                <w:rFonts w:hint="eastAsia" w:ascii="仿宋" w:hAnsi="仿宋" w:eastAsia="仿宋" w:cs="仿宋"/>
              </w:rPr>
            </w:pPr>
          </w:p>
        </w:tc>
        <w:tc>
          <w:tcPr>
            <w:tcW w:w="1411" w:type="dxa"/>
            <w:vAlign w:val="center"/>
          </w:tcPr>
          <w:p w14:paraId="22C4F824">
            <w:pPr>
              <w:pStyle w:val="8"/>
              <w:jc w:val="center"/>
              <w:rPr>
                <w:rFonts w:hint="eastAsia" w:ascii="仿宋" w:hAnsi="仿宋" w:eastAsia="仿宋" w:cs="仿宋"/>
              </w:rPr>
            </w:pPr>
          </w:p>
        </w:tc>
        <w:tc>
          <w:tcPr>
            <w:tcW w:w="690" w:type="dxa"/>
            <w:vAlign w:val="center"/>
          </w:tcPr>
          <w:p w14:paraId="46107078">
            <w:pPr>
              <w:pStyle w:val="8"/>
              <w:jc w:val="center"/>
              <w:rPr>
                <w:rFonts w:hint="eastAsia" w:ascii="仿宋" w:hAnsi="仿宋" w:eastAsia="仿宋" w:cs="仿宋"/>
              </w:rPr>
            </w:pPr>
          </w:p>
        </w:tc>
        <w:tc>
          <w:tcPr>
            <w:tcW w:w="849" w:type="dxa"/>
            <w:vAlign w:val="center"/>
          </w:tcPr>
          <w:p w14:paraId="7A782FBF">
            <w:pPr>
              <w:pStyle w:val="8"/>
              <w:jc w:val="center"/>
              <w:rPr>
                <w:rFonts w:hint="eastAsia" w:ascii="仿宋" w:hAnsi="仿宋" w:eastAsia="仿宋" w:cs="仿宋"/>
              </w:rPr>
            </w:pPr>
          </w:p>
        </w:tc>
        <w:tc>
          <w:tcPr>
            <w:tcW w:w="772" w:type="dxa"/>
            <w:vAlign w:val="center"/>
          </w:tcPr>
          <w:p w14:paraId="333614D2">
            <w:pPr>
              <w:pStyle w:val="8"/>
              <w:jc w:val="center"/>
              <w:rPr>
                <w:rFonts w:hint="eastAsia" w:ascii="仿宋" w:hAnsi="仿宋" w:eastAsia="仿宋" w:cs="仿宋"/>
              </w:rPr>
            </w:pPr>
          </w:p>
        </w:tc>
      </w:tr>
      <w:tr w14:paraId="6174E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665" w:type="dxa"/>
            <w:vMerge w:val="continue"/>
            <w:tcBorders>
              <w:top w:val="nil"/>
            </w:tcBorders>
            <w:vAlign w:val="center"/>
          </w:tcPr>
          <w:p w14:paraId="6CBF7BBD">
            <w:pPr>
              <w:pStyle w:val="8"/>
              <w:jc w:val="center"/>
              <w:rPr>
                <w:rFonts w:hint="eastAsia" w:ascii="仿宋" w:hAnsi="仿宋" w:eastAsia="仿宋" w:cs="仿宋"/>
              </w:rPr>
            </w:pPr>
          </w:p>
        </w:tc>
        <w:tc>
          <w:tcPr>
            <w:tcW w:w="1994" w:type="dxa"/>
            <w:gridSpan w:val="2"/>
            <w:vAlign w:val="center"/>
          </w:tcPr>
          <w:p w14:paraId="35600A82">
            <w:pPr>
              <w:spacing w:before="62" w:line="220" w:lineRule="auto"/>
              <w:jc w:val="both"/>
              <w:rPr>
                <w:rFonts w:hint="eastAsia" w:ascii="仿宋" w:hAnsi="仿宋" w:eastAsia="仿宋" w:cs="仿宋"/>
                <w:sz w:val="22"/>
                <w:szCs w:val="22"/>
              </w:rPr>
            </w:pPr>
            <w:r>
              <w:rPr>
                <w:rFonts w:hint="eastAsia" w:ascii="仿宋" w:hAnsi="仿宋" w:eastAsia="仿宋" w:cs="仿宋"/>
                <w:spacing w:val="-2"/>
                <w:sz w:val="22"/>
                <w:szCs w:val="22"/>
              </w:rPr>
              <w:t>其他资金</w:t>
            </w:r>
          </w:p>
        </w:tc>
        <w:tc>
          <w:tcPr>
            <w:tcW w:w="1536" w:type="dxa"/>
            <w:vAlign w:val="center"/>
          </w:tcPr>
          <w:p w14:paraId="1BFEF542">
            <w:pPr>
              <w:pStyle w:val="8"/>
              <w:jc w:val="center"/>
              <w:rPr>
                <w:rFonts w:hint="eastAsia" w:ascii="仿宋" w:hAnsi="仿宋" w:eastAsia="仿宋" w:cs="仿宋"/>
              </w:rPr>
            </w:pPr>
          </w:p>
        </w:tc>
        <w:tc>
          <w:tcPr>
            <w:tcW w:w="1433" w:type="dxa"/>
            <w:vAlign w:val="center"/>
          </w:tcPr>
          <w:p w14:paraId="53D7A65B">
            <w:pPr>
              <w:pStyle w:val="8"/>
              <w:jc w:val="center"/>
              <w:rPr>
                <w:rFonts w:hint="eastAsia" w:ascii="仿宋" w:hAnsi="仿宋" w:eastAsia="仿宋" w:cs="仿宋"/>
              </w:rPr>
            </w:pPr>
          </w:p>
        </w:tc>
        <w:tc>
          <w:tcPr>
            <w:tcW w:w="1411" w:type="dxa"/>
            <w:vAlign w:val="center"/>
          </w:tcPr>
          <w:p w14:paraId="2B3FA7F6">
            <w:pPr>
              <w:pStyle w:val="8"/>
              <w:jc w:val="center"/>
              <w:rPr>
                <w:rFonts w:hint="eastAsia" w:ascii="仿宋" w:hAnsi="仿宋" w:eastAsia="仿宋" w:cs="仿宋"/>
              </w:rPr>
            </w:pPr>
          </w:p>
        </w:tc>
        <w:tc>
          <w:tcPr>
            <w:tcW w:w="690" w:type="dxa"/>
            <w:vAlign w:val="center"/>
          </w:tcPr>
          <w:p w14:paraId="40A8550A">
            <w:pPr>
              <w:pStyle w:val="8"/>
              <w:jc w:val="center"/>
              <w:rPr>
                <w:rFonts w:hint="eastAsia" w:ascii="仿宋" w:hAnsi="仿宋" w:eastAsia="仿宋" w:cs="仿宋"/>
              </w:rPr>
            </w:pPr>
          </w:p>
        </w:tc>
        <w:tc>
          <w:tcPr>
            <w:tcW w:w="849" w:type="dxa"/>
            <w:vAlign w:val="center"/>
          </w:tcPr>
          <w:p w14:paraId="050618AD">
            <w:pPr>
              <w:pStyle w:val="8"/>
              <w:jc w:val="center"/>
              <w:rPr>
                <w:rFonts w:hint="eastAsia" w:ascii="仿宋" w:hAnsi="仿宋" w:eastAsia="仿宋" w:cs="仿宋"/>
              </w:rPr>
            </w:pPr>
          </w:p>
        </w:tc>
        <w:tc>
          <w:tcPr>
            <w:tcW w:w="772" w:type="dxa"/>
            <w:vAlign w:val="center"/>
          </w:tcPr>
          <w:p w14:paraId="6881B32E">
            <w:pPr>
              <w:pStyle w:val="8"/>
              <w:jc w:val="center"/>
              <w:rPr>
                <w:rFonts w:hint="eastAsia" w:ascii="仿宋" w:hAnsi="仿宋" w:eastAsia="仿宋" w:cs="仿宋"/>
              </w:rPr>
            </w:pPr>
          </w:p>
        </w:tc>
      </w:tr>
      <w:tr w14:paraId="54E31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665" w:type="dxa"/>
            <w:vMerge w:val="restart"/>
            <w:tcBorders>
              <w:bottom w:val="nil"/>
            </w:tcBorders>
            <w:vAlign w:val="center"/>
          </w:tcPr>
          <w:p w14:paraId="5315DE17">
            <w:pPr>
              <w:spacing w:before="132" w:line="219" w:lineRule="auto"/>
              <w:ind w:left="84"/>
              <w:jc w:val="center"/>
              <w:rPr>
                <w:rFonts w:hint="eastAsia" w:ascii="仿宋" w:hAnsi="仿宋" w:eastAsia="仿宋" w:cs="仿宋"/>
                <w:sz w:val="22"/>
                <w:szCs w:val="22"/>
              </w:rPr>
            </w:pPr>
            <w:r>
              <w:rPr>
                <w:rFonts w:hint="eastAsia" w:ascii="仿宋" w:hAnsi="仿宋" w:eastAsia="仿宋" w:cs="仿宋"/>
                <w:spacing w:val="-2"/>
                <w:sz w:val="22"/>
                <w:szCs w:val="22"/>
              </w:rPr>
              <w:t>年度总体</w:t>
            </w:r>
            <w:r>
              <w:rPr>
                <w:rFonts w:hint="eastAsia" w:ascii="仿宋" w:hAnsi="仿宋" w:eastAsia="仿宋" w:cs="仿宋"/>
                <w:spacing w:val="8"/>
                <w:sz w:val="22"/>
                <w:szCs w:val="22"/>
              </w:rPr>
              <w:t>目标</w:t>
            </w:r>
          </w:p>
        </w:tc>
        <w:tc>
          <w:tcPr>
            <w:tcW w:w="4963" w:type="dxa"/>
            <w:gridSpan w:val="4"/>
            <w:vAlign w:val="center"/>
          </w:tcPr>
          <w:p w14:paraId="091D736A">
            <w:pPr>
              <w:spacing w:before="62" w:line="215" w:lineRule="auto"/>
              <w:ind w:left="1830"/>
              <w:jc w:val="both"/>
              <w:rPr>
                <w:rFonts w:hint="eastAsia" w:ascii="仿宋" w:hAnsi="仿宋" w:eastAsia="仿宋" w:cs="仿宋"/>
                <w:sz w:val="22"/>
                <w:szCs w:val="22"/>
              </w:rPr>
            </w:pPr>
            <w:r>
              <w:rPr>
                <w:rFonts w:hint="eastAsia" w:ascii="仿宋" w:hAnsi="仿宋" w:eastAsia="仿宋" w:cs="仿宋"/>
                <w:spacing w:val="-2"/>
                <w:sz w:val="22"/>
                <w:szCs w:val="22"/>
              </w:rPr>
              <w:t>预期目标</w:t>
            </w:r>
          </w:p>
        </w:tc>
        <w:tc>
          <w:tcPr>
            <w:tcW w:w="3722" w:type="dxa"/>
            <w:gridSpan w:val="4"/>
            <w:vAlign w:val="center"/>
          </w:tcPr>
          <w:p w14:paraId="03818B81">
            <w:pPr>
              <w:spacing w:before="61" w:line="216" w:lineRule="auto"/>
              <w:ind w:left="1505"/>
              <w:jc w:val="both"/>
              <w:rPr>
                <w:rFonts w:hint="eastAsia" w:ascii="仿宋" w:hAnsi="仿宋" w:eastAsia="仿宋" w:cs="仿宋"/>
                <w:sz w:val="22"/>
                <w:szCs w:val="22"/>
              </w:rPr>
            </w:pPr>
            <w:r>
              <w:rPr>
                <w:rFonts w:hint="eastAsia" w:ascii="仿宋" w:hAnsi="仿宋" w:eastAsia="仿宋" w:cs="仿宋"/>
                <w:spacing w:val="1"/>
                <w:sz w:val="22"/>
                <w:szCs w:val="22"/>
              </w:rPr>
              <w:t>实际完成情况</w:t>
            </w:r>
          </w:p>
        </w:tc>
      </w:tr>
      <w:tr w14:paraId="6B80D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1" w:hRule="atLeast"/>
        </w:trPr>
        <w:tc>
          <w:tcPr>
            <w:tcW w:w="1665" w:type="dxa"/>
            <w:vMerge w:val="continue"/>
            <w:tcBorders>
              <w:top w:val="nil"/>
            </w:tcBorders>
            <w:vAlign w:val="center"/>
          </w:tcPr>
          <w:p w14:paraId="314DF4F9">
            <w:pPr>
              <w:pStyle w:val="8"/>
              <w:jc w:val="center"/>
              <w:rPr>
                <w:rFonts w:hint="eastAsia" w:ascii="仿宋" w:hAnsi="仿宋" w:eastAsia="仿宋" w:cs="仿宋"/>
              </w:rPr>
            </w:pPr>
          </w:p>
        </w:tc>
        <w:tc>
          <w:tcPr>
            <w:tcW w:w="4963" w:type="dxa"/>
            <w:gridSpan w:val="4"/>
            <w:vAlign w:val="center"/>
          </w:tcPr>
          <w:p w14:paraId="1E27FA65">
            <w:pPr>
              <w:pStyle w:val="8"/>
              <w:keepNext w:val="0"/>
              <w:keepLines w:val="0"/>
              <w:pageBreakBefore w:val="0"/>
              <w:wordWrap/>
              <w:overflowPunct/>
              <w:topLinePunct w:val="0"/>
              <w:bidi w:val="0"/>
              <w:spacing w:line="280" w:lineRule="exact"/>
              <w:ind w:left="0"/>
              <w:jc w:val="both"/>
              <w:rPr>
                <w:rFonts w:hint="eastAsia" w:ascii="仿宋" w:hAnsi="仿宋" w:eastAsia="仿宋" w:cs="仿宋"/>
                <w:sz w:val="22"/>
                <w:szCs w:val="22"/>
              </w:rPr>
            </w:pPr>
            <w:r>
              <w:rPr>
                <w:rFonts w:hint="eastAsia" w:ascii="仿宋" w:hAnsi="仿宋" w:eastAsia="仿宋" w:cs="仿宋"/>
                <w:sz w:val="22"/>
                <w:szCs w:val="22"/>
              </w:rPr>
              <w:t>1</w:t>
            </w:r>
            <w:r>
              <w:rPr>
                <w:rFonts w:hint="eastAsia" w:ascii="仿宋" w:hAnsi="仿宋" w:eastAsia="仿宋" w:cs="仿宋"/>
                <w:sz w:val="22"/>
                <w:szCs w:val="22"/>
                <w:lang w:val="en-US" w:eastAsia="zh-CN"/>
              </w:rPr>
              <w:t>.</w:t>
            </w:r>
            <w:r>
              <w:rPr>
                <w:rFonts w:hint="eastAsia" w:ascii="仿宋" w:hAnsi="仿宋" w:eastAsia="仿宋" w:cs="仿宋"/>
                <w:sz w:val="22"/>
                <w:szCs w:val="22"/>
              </w:rPr>
              <w:t>入驻企业数量（含扶贫企业、保靖对口帮扶企业）达到</w:t>
            </w:r>
            <w:r>
              <w:rPr>
                <w:rFonts w:hint="eastAsia" w:ascii="仿宋" w:hAnsi="仿宋" w:eastAsia="仿宋" w:cs="仿宋"/>
                <w:sz w:val="22"/>
                <w:szCs w:val="22"/>
                <w:lang w:val="en-US" w:eastAsia="zh-CN"/>
              </w:rPr>
              <w:t>100家</w:t>
            </w:r>
          </w:p>
          <w:p w14:paraId="4017500B">
            <w:pPr>
              <w:pStyle w:val="8"/>
              <w:keepNext w:val="0"/>
              <w:keepLines w:val="0"/>
              <w:pageBreakBefore w:val="0"/>
              <w:wordWrap/>
              <w:overflowPunct/>
              <w:topLinePunct w:val="0"/>
              <w:bidi w:val="0"/>
              <w:spacing w:line="280" w:lineRule="exact"/>
              <w:ind w:left="0"/>
              <w:jc w:val="both"/>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z w:val="22"/>
                <w:szCs w:val="22"/>
                <w:lang w:val="en-US" w:eastAsia="zh-CN"/>
              </w:rPr>
              <w:t>.</w:t>
            </w:r>
            <w:r>
              <w:rPr>
                <w:rFonts w:hint="eastAsia" w:ascii="仿宋" w:hAnsi="仿宋" w:eastAsia="仿宋" w:cs="仿宋"/>
                <w:sz w:val="22"/>
                <w:szCs w:val="22"/>
              </w:rPr>
              <w:t>营业额较去年增加</w:t>
            </w:r>
            <w:r>
              <w:rPr>
                <w:rFonts w:hint="eastAsia" w:ascii="仿宋" w:hAnsi="仿宋" w:eastAsia="仿宋" w:cs="仿宋"/>
                <w:sz w:val="22"/>
                <w:szCs w:val="22"/>
                <w:lang w:val="en-US" w:eastAsia="zh-CN"/>
              </w:rPr>
              <w:t>1</w:t>
            </w:r>
            <w:r>
              <w:rPr>
                <w:rFonts w:hint="eastAsia" w:ascii="仿宋" w:hAnsi="仿宋" w:eastAsia="仿宋" w:cs="仿宋"/>
                <w:sz w:val="22"/>
                <w:szCs w:val="22"/>
              </w:rPr>
              <w:t>0%</w:t>
            </w:r>
          </w:p>
          <w:p w14:paraId="0110137B">
            <w:pPr>
              <w:pStyle w:val="8"/>
              <w:jc w:val="both"/>
              <w:rPr>
                <w:rFonts w:hint="eastAsia" w:ascii="仿宋" w:hAnsi="仿宋" w:eastAsia="仿宋" w:cs="仿宋"/>
              </w:rPr>
            </w:pPr>
            <w:r>
              <w:rPr>
                <w:rFonts w:hint="eastAsia" w:ascii="仿宋" w:hAnsi="仿宋" w:eastAsia="仿宋" w:cs="仿宋"/>
                <w:sz w:val="22"/>
                <w:szCs w:val="22"/>
              </w:rPr>
              <w:t>3</w:t>
            </w:r>
            <w:r>
              <w:rPr>
                <w:rFonts w:hint="eastAsia" w:ascii="仿宋" w:hAnsi="仿宋" w:eastAsia="仿宋" w:cs="仿宋"/>
                <w:sz w:val="22"/>
                <w:szCs w:val="22"/>
                <w:lang w:val="en-US" w:eastAsia="zh-CN"/>
              </w:rPr>
              <w:t>.</w:t>
            </w:r>
            <w:r>
              <w:rPr>
                <w:rFonts w:hint="eastAsia" w:ascii="仿宋" w:hAnsi="仿宋" w:eastAsia="仿宋" w:cs="仿宋"/>
                <w:sz w:val="22"/>
                <w:szCs w:val="22"/>
              </w:rPr>
              <w:t>仓库流转率提升10%</w:t>
            </w:r>
          </w:p>
        </w:tc>
        <w:tc>
          <w:tcPr>
            <w:tcW w:w="3722" w:type="dxa"/>
            <w:gridSpan w:val="4"/>
            <w:vAlign w:val="center"/>
          </w:tcPr>
          <w:p w14:paraId="3C48EDBB">
            <w:pPr>
              <w:pStyle w:val="8"/>
              <w:keepNext w:val="0"/>
              <w:keepLines w:val="0"/>
              <w:pageBreakBefore w:val="0"/>
              <w:wordWrap/>
              <w:overflowPunct/>
              <w:topLinePunct w:val="0"/>
              <w:bidi w:val="0"/>
              <w:spacing w:line="280" w:lineRule="exact"/>
              <w:ind w:left="0"/>
              <w:jc w:val="both"/>
              <w:rPr>
                <w:rFonts w:hint="eastAsia" w:ascii="仿宋" w:hAnsi="仿宋" w:eastAsia="仿宋" w:cs="仿宋"/>
                <w:sz w:val="22"/>
                <w:szCs w:val="22"/>
              </w:rPr>
            </w:pPr>
            <w:r>
              <w:rPr>
                <w:rFonts w:hint="eastAsia" w:ascii="仿宋" w:hAnsi="仿宋" w:eastAsia="仿宋" w:cs="仿宋"/>
                <w:sz w:val="22"/>
                <w:szCs w:val="22"/>
              </w:rPr>
              <w:t>1</w:t>
            </w:r>
            <w:r>
              <w:rPr>
                <w:rFonts w:hint="eastAsia" w:ascii="仿宋" w:hAnsi="仿宋" w:eastAsia="仿宋" w:cs="仿宋"/>
                <w:sz w:val="22"/>
                <w:szCs w:val="22"/>
                <w:lang w:val="en-US" w:eastAsia="zh-CN"/>
              </w:rPr>
              <w:t>.</w:t>
            </w:r>
            <w:r>
              <w:rPr>
                <w:rFonts w:hint="eastAsia" w:ascii="仿宋" w:hAnsi="仿宋" w:eastAsia="仿宋" w:cs="仿宋"/>
                <w:sz w:val="22"/>
                <w:szCs w:val="22"/>
              </w:rPr>
              <w:t>入驻企业数量（含扶贫企业、保靖对口帮扶企业）达到</w:t>
            </w:r>
            <w:r>
              <w:rPr>
                <w:rFonts w:hint="eastAsia" w:ascii="仿宋" w:hAnsi="仿宋" w:eastAsia="仿宋" w:cs="仿宋"/>
                <w:sz w:val="22"/>
                <w:szCs w:val="22"/>
                <w:lang w:val="en-US" w:eastAsia="zh-CN"/>
              </w:rPr>
              <w:t>185家</w:t>
            </w:r>
          </w:p>
          <w:p w14:paraId="75F46BA6">
            <w:pPr>
              <w:pStyle w:val="8"/>
              <w:keepNext w:val="0"/>
              <w:keepLines w:val="0"/>
              <w:pageBreakBefore w:val="0"/>
              <w:wordWrap/>
              <w:overflowPunct/>
              <w:topLinePunct w:val="0"/>
              <w:bidi w:val="0"/>
              <w:spacing w:line="280" w:lineRule="exact"/>
              <w:ind w:left="0"/>
              <w:jc w:val="both"/>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z w:val="22"/>
                <w:szCs w:val="22"/>
                <w:lang w:val="en-US" w:eastAsia="zh-CN"/>
              </w:rPr>
              <w:t>.</w:t>
            </w:r>
            <w:r>
              <w:rPr>
                <w:rFonts w:hint="eastAsia" w:ascii="仿宋" w:hAnsi="仿宋" w:eastAsia="仿宋" w:cs="仿宋"/>
                <w:sz w:val="22"/>
                <w:szCs w:val="22"/>
              </w:rPr>
              <w:t>营业额较去年增加</w:t>
            </w:r>
            <w:r>
              <w:rPr>
                <w:rFonts w:hint="eastAsia" w:ascii="仿宋" w:hAnsi="仿宋" w:eastAsia="仿宋" w:cs="仿宋"/>
                <w:sz w:val="22"/>
                <w:szCs w:val="22"/>
                <w:lang w:val="en-US" w:eastAsia="zh-CN"/>
              </w:rPr>
              <w:t>1</w:t>
            </w:r>
            <w:r>
              <w:rPr>
                <w:rFonts w:hint="eastAsia" w:ascii="仿宋" w:hAnsi="仿宋" w:eastAsia="仿宋" w:cs="仿宋"/>
                <w:sz w:val="22"/>
                <w:szCs w:val="22"/>
              </w:rPr>
              <w:t>0%</w:t>
            </w:r>
          </w:p>
          <w:p w14:paraId="3362B8D1">
            <w:pPr>
              <w:pStyle w:val="8"/>
              <w:jc w:val="both"/>
              <w:rPr>
                <w:rFonts w:hint="eastAsia" w:ascii="仿宋" w:hAnsi="仿宋" w:eastAsia="仿宋" w:cs="仿宋"/>
              </w:rPr>
            </w:pPr>
            <w:r>
              <w:rPr>
                <w:rFonts w:hint="eastAsia" w:ascii="仿宋" w:hAnsi="仿宋" w:eastAsia="仿宋" w:cs="仿宋"/>
                <w:sz w:val="22"/>
                <w:szCs w:val="22"/>
              </w:rPr>
              <w:t>3</w:t>
            </w:r>
            <w:r>
              <w:rPr>
                <w:rFonts w:hint="eastAsia" w:ascii="仿宋" w:hAnsi="仿宋" w:eastAsia="仿宋" w:cs="仿宋"/>
                <w:sz w:val="22"/>
                <w:szCs w:val="22"/>
                <w:lang w:val="en-US" w:eastAsia="zh-CN"/>
              </w:rPr>
              <w:t>.</w:t>
            </w:r>
            <w:r>
              <w:rPr>
                <w:rFonts w:hint="eastAsia" w:ascii="仿宋" w:hAnsi="仿宋" w:eastAsia="仿宋" w:cs="仿宋"/>
                <w:sz w:val="22"/>
                <w:szCs w:val="22"/>
              </w:rPr>
              <w:t>仓库流转率提升10%</w:t>
            </w:r>
          </w:p>
        </w:tc>
      </w:tr>
      <w:tr w14:paraId="2A286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665" w:type="dxa"/>
            <w:vMerge w:val="restart"/>
            <w:tcBorders>
              <w:bottom w:val="nil"/>
            </w:tcBorders>
            <w:textDirection w:val="tbRlV"/>
            <w:vAlign w:val="center"/>
          </w:tcPr>
          <w:p w14:paraId="70F6EFDB">
            <w:pPr>
              <w:pStyle w:val="8"/>
              <w:spacing w:line="351" w:lineRule="auto"/>
              <w:ind w:left="0" w:leftChars="0" w:firstLine="0" w:firstLineChars="0"/>
              <w:jc w:val="both"/>
              <w:rPr>
                <w:rFonts w:hint="eastAsia" w:ascii="仿宋" w:hAnsi="仿宋" w:eastAsia="仿宋" w:cs="仿宋"/>
              </w:rPr>
            </w:pPr>
          </w:p>
          <w:p w14:paraId="03084D10">
            <w:pPr>
              <w:spacing w:before="74" w:line="202" w:lineRule="auto"/>
              <w:ind w:left="3014"/>
              <w:jc w:val="both"/>
              <w:rPr>
                <w:rFonts w:hint="eastAsia" w:ascii="仿宋" w:hAnsi="仿宋" w:eastAsia="仿宋" w:cs="仿宋"/>
                <w:sz w:val="22"/>
                <w:szCs w:val="22"/>
              </w:rPr>
            </w:pPr>
            <w:r>
              <w:rPr>
                <w:rFonts w:hint="eastAsia" w:ascii="仿宋" w:hAnsi="仿宋" w:eastAsia="仿宋" w:cs="仿宋"/>
                <w:sz w:val="22"/>
                <w:szCs w:val="22"/>
              </w:rPr>
              <w:t>绩</w:t>
            </w:r>
            <w:r>
              <w:rPr>
                <w:rFonts w:hint="eastAsia" w:ascii="仿宋" w:hAnsi="仿宋" w:eastAsia="仿宋" w:cs="仿宋"/>
                <w:spacing w:val="-12"/>
                <w:sz w:val="22"/>
                <w:szCs w:val="22"/>
              </w:rPr>
              <w:t xml:space="preserve"> </w:t>
            </w:r>
            <w:r>
              <w:rPr>
                <w:rFonts w:hint="eastAsia" w:ascii="仿宋" w:hAnsi="仿宋" w:eastAsia="仿宋" w:cs="仿宋"/>
                <w:sz w:val="22"/>
                <w:szCs w:val="22"/>
              </w:rPr>
              <w:t>效</w:t>
            </w:r>
            <w:r>
              <w:rPr>
                <w:rFonts w:hint="eastAsia" w:ascii="仿宋" w:hAnsi="仿宋" w:eastAsia="仿宋" w:cs="仿宋"/>
                <w:spacing w:val="-12"/>
                <w:sz w:val="22"/>
                <w:szCs w:val="22"/>
              </w:rPr>
              <w:t xml:space="preserve"> </w:t>
            </w:r>
            <w:r>
              <w:rPr>
                <w:rFonts w:hint="eastAsia" w:ascii="仿宋" w:hAnsi="仿宋" w:eastAsia="仿宋" w:cs="仿宋"/>
                <w:sz w:val="22"/>
                <w:szCs w:val="22"/>
              </w:rPr>
              <w:t>指</w:t>
            </w:r>
            <w:r>
              <w:rPr>
                <w:rFonts w:hint="eastAsia" w:ascii="仿宋" w:hAnsi="仿宋" w:eastAsia="仿宋" w:cs="仿宋"/>
                <w:spacing w:val="-12"/>
                <w:sz w:val="22"/>
                <w:szCs w:val="22"/>
              </w:rPr>
              <w:t xml:space="preserve"> </w:t>
            </w:r>
            <w:r>
              <w:rPr>
                <w:rFonts w:hint="eastAsia" w:ascii="仿宋" w:hAnsi="仿宋" w:eastAsia="仿宋" w:cs="仿宋"/>
                <w:sz w:val="22"/>
                <w:szCs w:val="22"/>
              </w:rPr>
              <w:t>标</w:t>
            </w:r>
          </w:p>
        </w:tc>
        <w:tc>
          <w:tcPr>
            <w:tcW w:w="1004" w:type="dxa"/>
            <w:vAlign w:val="center"/>
          </w:tcPr>
          <w:p w14:paraId="0C3EDAD1">
            <w:pPr>
              <w:spacing w:before="254" w:line="220" w:lineRule="auto"/>
              <w:ind w:left="81"/>
              <w:jc w:val="center"/>
              <w:rPr>
                <w:rFonts w:hint="eastAsia" w:ascii="仿宋" w:hAnsi="仿宋" w:eastAsia="仿宋" w:cs="仿宋"/>
                <w:sz w:val="22"/>
                <w:szCs w:val="22"/>
              </w:rPr>
            </w:pPr>
            <w:r>
              <w:rPr>
                <w:rFonts w:hint="eastAsia" w:ascii="仿宋" w:hAnsi="仿宋" w:eastAsia="仿宋" w:cs="仿宋"/>
                <w:spacing w:val="2"/>
                <w:sz w:val="22"/>
                <w:szCs w:val="22"/>
              </w:rPr>
              <w:t>一级指标</w:t>
            </w:r>
          </w:p>
        </w:tc>
        <w:tc>
          <w:tcPr>
            <w:tcW w:w="990" w:type="dxa"/>
            <w:vAlign w:val="center"/>
          </w:tcPr>
          <w:p w14:paraId="449EB579">
            <w:pPr>
              <w:spacing w:before="254" w:line="220" w:lineRule="auto"/>
              <w:ind w:left="81"/>
              <w:jc w:val="center"/>
              <w:rPr>
                <w:rFonts w:hint="eastAsia" w:ascii="仿宋" w:hAnsi="仿宋" w:eastAsia="仿宋" w:cs="仿宋"/>
                <w:sz w:val="22"/>
                <w:szCs w:val="22"/>
              </w:rPr>
            </w:pPr>
            <w:r>
              <w:rPr>
                <w:rFonts w:hint="eastAsia" w:ascii="仿宋" w:hAnsi="仿宋" w:eastAsia="仿宋" w:cs="仿宋"/>
                <w:spacing w:val="2"/>
                <w:sz w:val="22"/>
                <w:szCs w:val="22"/>
              </w:rPr>
              <w:t>二级指标</w:t>
            </w:r>
          </w:p>
        </w:tc>
        <w:tc>
          <w:tcPr>
            <w:tcW w:w="1536" w:type="dxa"/>
            <w:vAlign w:val="center"/>
          </w:tcPr>
          <w:p w14:paraId="6006D42F">
            <w:pPr>
              <w:spacing w:before="254" w:line="220" w:lineRule="auto"/>
              <w:ind w:left="102"/>
              <w:jc w:val="center"/>
              <w:rPr>
                <w:rFonts w:hint="eastAsia" w:ascii="仿宋" w:hAnsi="仿宋" w:eastAsia="仿宋" w:cs="仿宋"/>
                <w:sz w:val="22"/>
                <w:szCs w:val="22"/>
              </w:rPr>
            </w:pPr>
            <w:r>
              <w:rPr>
                <w:rFonts w:hint="eastAsia" w:ascii="仿宋" w:hAnsi="仿宋" w:eastAsia="仿宋" w:cs="仿宋"/>
                <w:spacing w:val="-2"/>
                <w:sz w:val="22"/>
                <w:szCs w:val="22"/>
              </w:rPr>
              <w:t>三级指标</w:t>
            </w:r>
          </w:p>
        </w:tc>
        <w:tc>
          <w:tcPr>
            <w:tcW w:w="1433" w:type="dxa"/>
            <w:vAlign w:val="center"/>
          </w:tcPr>
          <w:p w14:paraId="21BCD4D7">
            <w:pPr>
              <w:spacing w:before="134" w:line="220" w:lineRule="auto"/>
              <w:ind w:left="263" w:right="275" w:firstLine="110"/>
              <w:jc w:val="center"/>
              <w:rPr>
                <w:rFonts w:hint="eastAsia" w:ascii="仿宋" w:hAnsi="仿宋" w:eastAsia="仿宋" w:cs="仿宋"/>
                <w:sz w:val="22"/>
                <w:szCs w:val="22"/>
              </w:rPr>
            </w:pPr>
            <w:r>
              <w:rPr>
                <w:rFonts w:hint="eastAsia" w:ascii="仿宋" w:hAnsi="仿宋" w:eastAsia="仿宋" w:cs="仿宋"/>
                <w:spacing w:val="6"/>
                <w:sz w:val="22"/>
                <w:szCs w:val="22"/>
              </w:rPr>
              <w:t>年度</w:t>
            </w:r>
            <w:r>
              <w:rPr>
                <w:rFonts w:hint="eastAsia" w:ascii="仿宋" w:hAnsi="仿宋" w:eastAsia="仿宋" w:cs="仿宋"/>
                <w:spacing w:val="-4"/>
                <w:sz w:val="22"/>
                <w:szCs w:val="22"/>
              </w:rPr>
              <w:t>指标值</w:t>
            </w:r>
          </w:p>
        </w:tc>
        <w:tc>
          <w:tcPr>
            <w:tcW w:w="1411" w:type="dxa"/>
            <w:vAlign w:val="center"/>
          </w:tcPr>
          <w:p w14:paraId="3D6054BD">
            <w:pPr>
              <w:spacing w:before="135" w:line="214" w:lineRule="auto"/>
              <w:ind w:left="225" w:right="243" w:firstLine="109"/>
              <w:jc w:val="center"/>
              <w:rPr>
                <w:rFonts w:hint="eastAsia" w:ascii="仿宋" w:hAnsi="仿宋" w:eastAsia="仿宋" w:cs="仿宋"/>
                <w:sz w:val="22"/>
                <w:szCs w:val="22"/>
              </w:rPr>
            </w:pPr>
            <w:r>
              <w:rPr>
                <w:rFonts w:hint="eastAsia" w:ascii="仿宋" w:hAnsi="仿宋" w:eastAsia="仿宋" w:cs="仿宋"/>
                <w:spacing w:val="4"/>
                <w:sz w:val="22"/>
                <w:szCs w:val="22"/>
              </w:rPr>
              <w:t>实际</w:t>
            </w:r>
            <w:r>
              <w:rPr>
                <w:rFonts w:hint="eastAsia" w:ascii="仿宋" w:hAnsi="仿宋" w:eastAsia="仿宋" w:cs="仿宋"/>
                <w:spacing w:val="-4"/>
                <w:sz w:val="22"/>
                <w:szCs w:val="22"/>
              </w:rPr>
              <w:t>完成值</w:t>
            </w:r>
          </w:p>
        </w:tc>
        <w:tc>
          <w:tcPr>
            <w:tcW w:w="690" w:type="dxa"/>
            <w:vAlign w:val="center"/>
          </w:tcPr>
          <w:p w14:paraId="787EDFF5">
            <w:pPr>
              <w:spacing w:before="254" w:line="219" w:lineRule="auto"/>
              <w:jc w:val="center"/>
              <w:rPr>
                <w:rFonts w:hint="eastAsia" w:ascii="仿宋" w:hAnsi="仿宋" w:eastAsia="仿宋" w:cs="仿宋"/>
                <w:sz w:val="22"/>
                <w:szCs w:val="22"/>
              </w:rPr>
            </w:pPr>
            <w:r>
              <w:rPr>
                <w:rFonts w:hint="eastAsia" w:ascii="仿宋" w:hAnsi="仿宋" w:eastAsia="仿宋" w:cs="仿宋"/>
                <w:spacing w:val="-3"/>
                <w:sz w:val="22"/>
                <w:szCs w:val="22"/>
              </w:rPr>
              <w:t>分值</w:t>
            </w:r>
          </w:p>
        </w:tc>
        <w:tc>
          <w:tcPr>
            <w:tcW w:w="849" w:type="dxa"/>
            <w:vAlign w:val="center"/>
          </w:tcPr>
          <w:p w14:paraId="16E6E66E">
            <w:pPr>
              <w:spacing w:before="254" w:line="219" w:lineRule="auto"/>
              <w:jc w:val="center"/>
              <w:rPr>
                <w:rFonts w:hint="eastAsia" w:ascii="仿宋" w:hAnsi="仿宋" w:eastAsia="仿宋" w:cs="仿宋"/>
                <w:sz w:val="22"/>
                <w:szCs w:val="22"/>
              </w:rPr>
            </w:pPr>
            <w:r>
              <w:rPr>
                <w:rFonts w:hint="eastAsia" w:ascii="仿宋" w:hAnsi="仿宋" w:eastAsia="仿宋" w:cs="仿宋"/>
                <w:spacing w:val="-3"/>
                <w:sz w:val="22"/>
                <w:szCs w:val="22"/>
              </w:rPr>
              <w:t>得分</w:t>
            </w:r>
          </w:p>
        </w:tc>
        <w:tc>
          <w:tcPr>
            <w:tcW w:w="772" w:type="dxa"/>
            <w:vAlign w:val="center"/>
          </w:tcPr>
          <w:p w14:paraId="646CA4C4">
            <w:pPr>
              <w:spacing w:before="23" w:line="194" w:lineRule="auto"/>
              <w:jc w:val="center"/>
              <w:rPr>
                <w:rFonts w:hint="eastAsia" w:ascii="仿宋" w:hAnsi="仿宋" w:eastAsia="仿宋" w:cs="仿宋"/>
                <w:sz w:val="22"/>
                <w:szCs w:val="22"/>
              </w:rPr>
            </w:pPr>
            <w:r>
              <w:rPr>
                <w:rFonts w:hint="eastAsia" w:ascii="仿宋" w:hAnsi="仿宋" w:eastAsia="仿宋" w:cs="仿宋"/>
                <w:spacing w:val="5"/>
                <w:sz w:val="22"/>
                <w:szCs w:val="22"/>
              </w:rPr>
              <w:t>偏差原因</w:t>
            </w:r>
            <w:r>
              <w:rPr>
                <w:rFonts w:hint="eastAsia" w:ascii="仿宋" w:hAnsi="仿宋" w:eastAsia="仿宋" w:cs="仿宋"/>
                <w:spacing w:val="4"/>
                <w:sz w:val="22"/>
                <w:szCs w:val="22"/>
              </w:rPr>
              <w:t>分析及</w:t>
            </w:r>
            <w:r>
              <w:rPr>
                <w:rFonts w:hint="eastAsia" w:ascii="仿宋" w:hAnsi="仿宋" w:eastAsia="仿宋" w:cs="仿宋"/>
                <w:spacing w:val="2"/>
                <w:sz w:val="22"/>
                <w:szCs w:val="22"/>
              </w:rPr>
              <w:t>改进措施</w:t>
            </w:r>
          </w:p>
        </w:tc>
      </w:tr>
      <w:tr w14:paraId="552CD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665" w:type="dxa"/>
            <w:vMerge w:val="continue"/>
            <w:tcBorders>
              <w:top w:val="nil"/>
              <w:bottom w:val="nil"/>
            </w:tcBorders>
            <w:textDirection w:val="tbRlV"/>
            <w:vAlign w:val="center"/>
          </w:tcPr>
          <w:p w14:paraId="62C12488">
            <w:pPr>
              <w:pStyle w:val="8"/>
              <w:jc w:val="center"/>
              <w:rPr>
                <w:rFonts w:hint="eastAsia" w:ascii="仿宋" w:hAnsi="仿宋" w:eastAsia="仿宋" w:cs="仿宋"/>
              </w:rPr>
            </w:pPr>
          </w:p>
        </w:tc>
        <w:tc>
          <w:tcPr>
            <w:tcW w:w="1004" w:type="dxa"/>
            <w:vMerge w:val="restart"/>
            <w:tcBorders>
              <w:bottom w:val="nil"/>
            </w:tcBorders>
            <w:vAlign w:val="center"/>
          </w:tcPr>
          <w:p w14:paraId="7195DE0A">
            <w:pPr>
              <w:spacing w:before="71" w:line="219" w:lineRule="auto"/>
              <w:jc w:val="center"/>
              <w:rPr>
                <w:rFonts w:hint="eastAsia" w:ascii="仿宋" w:hAnsi="仿宋" w:eastAsia="仿宋" w:cs="仿宋"/>
                <w:sz w:val="22"/>
                <w:szCs w:val="22"/>
              </w:rPr>
            </w:pPr>
            <w:r>
              <w:rPr>
                <w:rFonts w:hint="eastAsia" w:ascii="仿宋" w:hAnsi="仿宋" w:eastAsia="仿宋" w:cs="仿宋"/>
                <w:spacing w:val="-2"/>
                <w:sz w:val="22"/>
                <w:szCs w:val="22"/>
              </w:rPr>
              <w:t>产出指标</w:t>
            </w:r>
            <w:r>
              <w:rPr>
                <w:rFonts w:hint="eastAsia" w:ascii="仿宋" w:hAnsi="仿宋" w:eastAsia="仿宋" w:cs="仿宋"/>
                <w:spacing w:val="9"/>
                <w:sz w:val="22"/>
                <w:szCs w:val="22"/>
              </w:rPr>
              <w:t>(50分)</w:t>
            </w:r>
          </w:p>
        </w:tc>
        <w:tc>
          <w:tcPr>
            <w:tcW w:w="990" w:type="dxa"/>
            <w:tcBorders>
              <w:bottom w:val="nil"/>
            </w:tcBorders>
            <w:vAlign w:val="center"/>
          </w:tcPr>
          <w:p w14:paraId="6653127D">
            <w:pPr>
              <w:pStyle w:val="8"/>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数量指标</w:t>
            </w:r>
          </w:p>
        </w:tc>
        <w:tc>
          <w:tcPr>
            <w:tcW w:w="1536" w:type="dxa"/>
            <w:vAlign w:val="center"/>
          </w:tcPr>
          <w:p w14:paraId="72B62297">
            <w:pPr>
              <w:pStyle w:val="8"/>
              <w:jc w:val="center"/>
              <w:rPr>
                <w:rFonts w:hint="eastAsia" w:ascii="仿宋" w:hAnsi="仿宋" w:eastAsia="仿宋" w:cs="仿宋"/>
              </w:rPr>
            </w:pPr>
            <w:r>
              <w:rPr>
                <w:rFonts w:hint="eastAsia" w:ascii="仿宋" w:hAnsi="仿宋" w:eastAsia="仿宋" w:cs="仿宋"/>
                <w:spacing w:val="-2"/>
                <w:sz w:val="22"/>
                <w:szCs w:val="22"/>
                <w:lang w:val="en-US" w:eastAsia="zh-CN"/>
              </w:rPr>
              <w:t>入驻企业数量</w:t>
            </w:r>
          </w:p>
        </w:tc>
        <w:tc>
          <w:tcPr>
            <w:tcW w:w="1433" w:type="dxa"/>
            <w:vAlign w:val="center"/>
          </w:tcPr>
          <w:p w14:paraId="21F7AF5C">
            <w:pPr>
              <w:pStyle w:val="8"/>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≥100</w:t>
            </w:r>
          </w:p>
        </w:tc>
        <w:tc>
          <w:tcPr>
            <w:tcW w:w="1411" w:type="dxa"/>
            <w:vAlign w:val="center"/>
          </w:tcPr>
          <w:p w14:paraId="50BF0FF7">
            <w:pPr>
              <w:pStyle w:val="8"/>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185</w:t>
            </w:r>
          </w:p>
        </w:tc>
        <w:tc>
          <w:tcPr>
            <w:tcW w:w="690" w:type="dxa"/>
            <w:vAlign w:val="center"/>
          </w:tcPr>
          <w:p w14:paraId="2843A1E1">
            <w:pPr>
              <w:pStyle w:val="8"/>
              <w:jc w:val="center"/>
              <w:rPr>
                <w:rFonts w:hint="default" w:ascii="仿宋" w:hAnsi="仿宋" w:eastAsia="仿宋" w:cs="仿宋"/>
                <w:lang w:val="en-US" w:eastAsia="zh-CN"/>
              </w:rPr>
            </w:pPr>
            <w:r>
              <w:rPr>
                <w:rFonts w:hint="eastAsia" w:ascii="仿宋" w:hAnsi="仿宋" w:eastAsia="仿宋" w:cs="仿宋"/>
                <w:lang w:val="en-US" w:eastAsia="zh-CN"/>
              </w:rPr>
              <w:t>10</w:t>
            </w:r>
          </w:p>
        </w:tc>
        <w:tc>
          <w:tcPr>
            <w:tcW w:w="849" w:type="dxa"/>
            <w:shd w:val="clear" w:color="auto" w:fill="auto"/>
            <w:vAlign w:val="center"/>
          </w:tcPr>
          <w:p w14:paraId="69D0598D">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w:t>
            </w:r>
          </w:p>
        </w:tc>
        <w:tc>
          <w:tcPr>
            <w:tcW w:w="772" w:type="dxa"/>
            <w:vAlign w:val="center"/>
          </w:tcPr>
          <w:p w14:paraId="7C28343E">
            <w:pPr>
              <w:pStyle w:val="8"/>
              <w:jc w:val="center"/>
              <w:rPr>
                <w:rFonts w:hint="eastAsia" w:ascii="仿宋" w:hAnsi="仿宋" w:eastAsia="仿宋" w:cs="仿宋"/>
              </w:rPr>
            </w:pPr>
          </w:p>
        </w:tc>
      </w:tr>
      <w:tr w14:paraId="39027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65" w:type="dxa"/>
            <w:vMerge w:val="continue"/>
            <w:tcBorders>
              <w:top w:val="nil"/>
              <w:bottom w:val="nil"/>
            </w:tcBorders>
            <w:textDirection w:val="tbRlV"/>
            <w:vAlign w:val="center"/>
          </w:tcPr>
          <w:p w14:paraId="34A34D28">
            <w:pPr>
              <w:pStyle w:val="8"/>
              <w:jc w:val="center"/>
              <w:rPr>
                <w:rFonts w:hint="eastAsia" w:ascii="仿宋" w:hAnsi="仿宋" w:eastAsia="仿宋" w:cs="仿宋"/>
              </w:rPr>
            </w:pPr>
          </w:p>
        </w:tc>
        <w:tc>
          <w:tcPr>
            <w:tcW w:w="1004" w:type="dxa"/>
            <w:vMerge w:val="continue"/>
            <w:tcBorders>
              <w:top w:val="nil"/>
              <w:bottom w:val="nil"/>
            </w:tcBorders>
            <w:vAlign w:val="center"/>
          </w:tcPr>
          <w:p w14:paraId="79C4AB00">
            <w:pPr>
              <w:pStyle w:val="8"/>
              <w:jc w:val="center"/>
              <w:rPr>
                <w:rFonts w:hint="eastAsia" w:ascii="仿宋" w:hAnsi="仿宋" w:eastAsia="仿宋" w:cs="仿宋"/>
              </w:rPr>
            </w:pPr>
          </w:p>
        </w:tc>
        <w:tc>
          <w:tcPr>
            <w:tcW w:w="990" w:type="dxa"/>
            <w:vMerge w:val="restart"/>
            <w:vAlign w:val="center"/>
          </w:tcPr>
          <w:p w14:paraId="56B7C186">
            <w:pPr>
              <w:pStyle w:val="8"/>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质量指标</w:t>
            </w:r>
          </w:p>
        </w:tc>
        <w:tc>
          <w:tcPr>
            <w:tcW w:w="1536" w:type="dxa"/>
            <w:vAlign w:val="center"/>
          </w:tcPr>
          <w:p w14:paraId="2CF64931">
            <w:pPr>
              <w:pStyle w:val="8"/>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上线产品主体资质为扶贫企业、拥有特殊资质企业、农头企业、驻村帮扶点农业主体</w:t>
            </w:r>
          </w:p>
        </w:tc>
        <w:tc>
          <w:tcPr>
            <w:tcW w:w="1433" w:type="dxa"/>
            <w:vAlign w:val="center"/>
          </w:tcPr>
          <w:p w14:paraId="27B093BD">
            <w:pPr>
              <w:pStyle w:val="8"/>
              <w:jc w:val="center"/>
              <w:rPr>
                <w:rFonts w:hint="eastAsia" w:ascii="仿宋" w:hAnsi="仿宋" w:eastAsia="仿宋" w:cs="仿宋"/>
              </w:rPr>
            </w:pPr>
            <w:r>
              <w:rPr>
                <w:rFonts w:hint="eastAsia" w:ascii="仿宋" w:hAnsi="仿宋" w:eastAsia="仿宋" w:cs="仿宋"/>
                <w:spacing w:val="-2"/>
                <w:sz w:val="22"/>
                <w:szCs w:val="22"/>
                <w:lang w:val="en-US" w:eastAsia="zh-CN"/>
              </w:rPr>
              <w:t>上线产品100%为扶贫企业、拥有特殊资质企业、农头企业、驻村帮扶点农业主体</w:t>
            </w:r>
          </w:p>
        </w:tc>
        <w:tc>
          <w:tcPr>
            <w:tcW w:w="1411" w:type="dxa"/>
            <w:vAlign w:val="center"/>
          </w:tcPr>
          <w:p w14:paraId="5C82A087">
            <w:pPr>
              <w:pStyle w:val="8"/>
              <w:jc w:val="center"/>
              <w:rPr>
                <w:rFonts w:hint="eastAsia" w:ascii="仿宋" w:hAnsi="仿宋" w:eastAsia="仿宋" w:cs="仿宋"/>
              </w:rPr>
            </w:pPr>
            <w:r>
              <w:rPr>
                <w:rFonts w:hint="eastAsia" w:ascii="仿宋" w:hAnsi="仿宋" w:eastAsia="仿宋" w:cs="仿宋"/>
                <w:spacing w:val="-2"/>
                <w:sz w:val="22"/>
                <w:szCs w:val="22"/>
                <w:lang w:val="en-US" w:eastAsia="zh-CN"/>
              </w:rPr>
              <w:t>上线产品100%为扶贫企业、拥有特殊资质企业、农头企业、驻村帮扶点农业主体</w:t>
            </w:r>
          </w:p>
        </w:tc>
        <w:tc>
          <w:tcPr>
            <w:tcW w:w="690" w:type="dxa"/>
            <w:vAlign w:val="center"/>
          </w:tcPr>
          <w:p w14:paraId="5F037979">
            <w:pPr>
              <w:pStyle w:val="8"/>
              <w:jc w:val="center"/>
              <w:rPr>
                <w:rFonts w:hint="default" w:ascii="仿宋" w:hAnsi="仿宋" w:eastAsia="仿宋" w:cs="仿宋"/>
                <w:lang w:val="en-US" w:eastAsia="zh-CN"/>
              </w:rPr>
            </w:pPr>
            <w:r>
              <w:rPr>
                <w:rFonts w:hint="eastAsia" w:ascii="仿宋" w:hAnsi="仿宋" w:eastAsia="仿宋" w:cs="仿宋"/>
                <w:lang w:val="en-US" w:eastAsia="zh-CN"/>
              </w:rPr>
              <w:t>10</w:t>
            </w:r>
          </w:p>
        </w:tc>
        <w:tc>
          <w:tcPr>
            <w:tcW w:w="849" w:type="dxa"/>
            <w:shd w:val="clear" w:color="auto" w:fill="auto"/>
            <w:vAlign w:val="center"/>
          </w:tcPr>
          <w:p w14:paraId="747189BF">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w:t>
            </w:r>
          </w:p>
        </w:tc>
        <w:tc>
          <w:tcPr>
            <w:tcW w:w="772" w:type="dxa"/>
            <w:vAlign w:val="center"/>
          </w:tcPr>
          <w:p w14:paraId="100C0F5A">
            <w:pPr>
              <w:pStyle w:val="8"/>
              <w:jc w:val="center"/>
              <w:rPr>
                <w:rFonts w:hint="eastAsia" w:ascii="仿宋" w:hAnsi="仿宋" w:eastAsia="仿宋" w:cs="仿宋"/>
              </w:rPr>
            </w:pPr>
          </w:p>
        </w:tc>
      </w:tr>
      <w:tr w14:paraId="77BC7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1665" w:type="dxa"/>
            <w:vMerge w:val="continue"/>
            <w:tcBorders>
              <w:top w:val="nil"/>
              <w:bottom w:val="nil"/>
            </w:tcBorders>
            <w:textDirection w:val="tbRlV"/>
            <w:vAlign w:val="center"/>
          </w:tcPr>
          <w:p w14:paraId="289FE9F3">
            <w:pPr>
              <w:pStyle w:val="8"/>
              <w:jc w:val="center"/>
              <w:rPr>
                <w:rFonts w:hint="eastAsia" w:ascii="仿宋" w:hAnsi="仿宋" w:eastAsia="仿宋" w:cs="仿宋"/>
              </w:rPr>
            </w:pPr>
          </w:p>
        </w:tc>
        <w:tc>
          <w:tcPr>
            <w:tcW w:w="1004" w:type="dxa"/>
            <w:vMerge w:val="continue"/>
            <w:tcBorders>
              <w:top w:val="nil"/>
              <w:bottom w:val="nil"/>
            </w:tcBorders>
            <w:vAlign w:val="center"/>
          </w:tcPr>
          <w:p w14:paraId="2A9D482B">
            <w:pPr>
              <w:pStyle w:val="8"/>
              <w:jc w:val="center"/>
              <w:rPr>
                <w:rFonts w:hint="eastAsia" w:ascii="仿宋" w:hAnsi="仿宋" w:eastAsia="仿宋" w:cs="仿宋"/>
              </w:rPr>
            </w:pPr>
          </w:p>
        </w:tc>
        <w:tc>
          <w:tcPr>
            <w:tcW w:w="990" w:type="dxa"/>
            <w:vMerge w:val="continue"/>
            <w:tcBorders>
              <w:bottom w:val="nil"/>
            </w:tcBorders>
            <w:vAlign w:val="center"/>
          </w:tcPr>
          <w:p w14:paraId="7353ABD8">
            <w:pPr>
              <w:pStyle w:val="8"/>
              <w:jc w:val="center"/>
              <w:rPr>
                <w:rFonts w:hint="eastAsia" w:ascii="仿宋" w:hAnsi="仿宋" w:eastAsia="仿宋" w:cs="仿宋"/>
                <w:spacing w:val="-2"/>
                <w:sz w:val="22"/>
                <w:szCs w:val="22"/>
                <w:lang w:val="en-US" w:eastAsia="zh-CN"/>
              </w:rPr>
            </w:pPr>
          </w:p>
        </w:tc>
        <w:tc>
          <w:tcPr>
            <w:tcW w:w="1536" w:type="dxa"/>
            <w:vAlign w:val="center"/>
          </w:tcPr>
          <w:p w14:paraId="4BA2CC9C">
            <w:pPr>
              <w:pStyle w:val="8"/>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上线平台的产品必须提供质检报告</w:t>
            </w:r>
          </w:p>
        </w:tc>
        <w:tc>
          <w:tcPr>
            <w:tcW w:w="1433" w:type="dxa"/>
            <w:vAlign w:val="center"/>
          </w:tcPr>
          <w:p w14:paraId="1FC217D1">
            <w:pPr>
              <w:pStyle w:val="8"/>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平台产品质量保质保优</w:t>
            </w:r>
          </w:p>
        </w:tc>
        <w:tc>
          <w:tcPr>
            <w:tcW w:w="1411" w:type="dxa"/>
            <w:vAlign w:val="center"/>
          </w:tcPr>
          <w:p w14:paraId="70E126B0">
            <w:pPr>
              <w:pStyle w:val="8"/>
              <w:jc w:val="center"/>
              <w:rPr>
                <w:rFonts w:hint="eastAsia" w:ascii="仿宋" w:hAnsi="仿宋" w:eastAsia="仿宋" w:cs="仿宋"/>
                <w:snapToGrid/>
                <w:color w:val="auto"/>
                <w:spacing w:val="-2"/>
                <w:kern w:val="2"/>
                <w:sz w:val="22"/>
                <w:szCs w:val="22"/>
                <w:lang w:val="en-US" w:eastAsia="zh-CN" w:bidi="ar-SA"/>
              </w:rPr>
            </w:pPr>
            <w:r>
              <w:rPr>
                <w:rFonts w:hint="eastAsia" w:ascii="仿宋" w:hAnsi="仿宋" w:eastAsia="仿宋" w:cs="仿宋"/>
                <w:spacing w:val="-2"/>
                <w:sz w:val="22"/>
                <w:szCs w:val="22"/>
                <w:lang w:val="en-US" w:eastAsia="zh-CN"/>
              </w:rPr>
              <w:t>平台产品质量保质保优</w:t>
            </w:r>
          </w:p>
        </w:tc>
        <w:tc>
          <w:tcPr>
            <w:tcW w:w="690" w:type="dxa"/>
            <w:vAlign w:val="center"/>
          </w:tcPr>
          <w:p w14:paraId="310897F6">
            <w:pPr>
              <w:pStyle w:val="8"/>
              <w:jc w:val="center"/>
              <w:rPr>
                <w:rFonts w:hint="default" w:ascii="仿宋" w:hAnsi="仿宋" w:eastAsia="仿宋" w:cs="仿宋"/>
                <w:lang w:val="en-US" w:eastAsia="zh-CN"/>
              </w:rPr>
            </w:pPr>
            <w:r>
              <w:rPr>
                <w:rFonts w:hint="eastAsia" w:ascii="仿宋" w:hAnsi="仿宋" w:eastAsia="仿宋" w:cs="仿宋"/>
                <w:lang w:val="en-US" w:eastAsia="zh-CN"/>
              </w:rPr>
              <w:t>10</w:t>
            </w:r>
          </w:p>
        </w:tc>
        <w:tc>
          <w:tcPr>
            <w:tcW w:w="849" w:type="dxa"/>
            <w:shd w:val="clear" w:color="auto" w:fill="auto"/>
            <w:vAlign w:val="center"/>
          </w:tcPr>
          <w:p w14:paraId="1334D311">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w:t>
            </w:r>
          </w:p>
        </w:tc>
        <w:tc>
          <w:tcPr>
            <w:tcW w:w="772" w:type="dxa"/>
            <w:vAlign w:val="center"/>
          </w:tcPr>
          <w:p w14:paraId="18B4582F">
            <w:pPr>
              <w:pStyle w:val="8"/>
              <w:jc w:val="center"/>
              <w:rPr>
                <w:rFonts w:hint="eastAsia" w:ascii="仿宋" w:hAnsi="仿宋" w:eastAsia="仿宋" w:cs="仿宋"/>
              </w:rPr>
            </w:pPr>
          </w:p>
        </w:tc>
      </w:tr>
      <w:tr w14:paraId="6CD3F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trPr>
        <w:tc>
          <w:tcPr>
            <w:tcW w:w="1665" w:type="dxa"/>
            <w:vMerge w:val="continue"/>
            <w:tcBorders>
              <w:top w:val="nil"/>
              <w:bottom w:val="nil"/>
            </w:tcBorders>
            <w:textDirection w:val="tbRlV"/>
            <w:vAlign w:val="center"/>
          </w:tcPr>
          <w:p w14:paraId="7FE340E1">
            <w:pPr>
              <w:pStyle w:val="8"/>
              <w:jc w:val="center"/>
              <w:rPr>
                <w:rFonts w:hint="eastAsia" w:ascii="仿宋" w:hAnsi="仿宋" w:eastAsia="仿宋" w:cs="仿宋"/>
              </w:rPr>
            </w:pPr>
          </w:p>
        </w:tc>
        <w:tc>
          <w:tcPr>
            <w:tcW w:w="1004" w:type="dxa"/>
            <w:vMerge w:val="continue"/>
            <w:tcBorders>
              <w:top w:val="nil"/>
              <w:bottom w:val="nil"/>
            </w:tcBorders>
            <w:vAlign w:val="center"/>
          </w:tcPr>
          <w:p w14:paraId="30A3627F">
            <w:pPr>
              <w:pStyle w:val="8"/>
              <w:jc w:val="center"/>
              <w:rPr>
                <w:rFonts w:hint="eastAsia" w:ascii="仿宋" w:hAnsi="仿宋" w:eastAsia="仿宋" w:cs="仿宋"/>
              </w:rPr>
            </w:pPr>
          </w:p>
        </w:tc>
        <w:tc>
          <w:tcPr>
            <w:tcW w:w="990" w:type="dxa"/>
            <w:tcBorders>
              <w:bottom w:val="nil"/>
            </w:tcBorders>
            <w:vAlign w:val="center"/>
          </w:tcPr>
          <w:p w14:paraId="7929CAF6">
            <w:pPr>
              <w:pStyle w:val="8"/>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时效指标</w:t>
            </w:r>
          </w:p>
        </w:tc>
        <w:tc>
          <w:tcPr>
            <w:tcW w:w="1536" w:type="dxa"/>
            <w:vAlign w:val="center"/>
          </w:tcPr>
          <w:p w14:paraId="3597F447">
            <w:pPr>
              <w:pStyle w:val="8"/>
              <w:jc w:val="center"/>
              <w:rPr>
                <w:rFonts w:hint="eastAsia" w:ascii="仿宋" w:hAnsi="仿宋" w:eastAsia="仿宋" w:cs="仿宋"/>
              </w:rPr>
            </w:pPr>
            <w:r>
              <w:rPr>
                <w:rFonts w:hint="eastAsia" w:ascii="仿宋" w:hAnsi="仿宋" w:eastAsia="仿宋" w:cs="仿宋"/>
                <w:spacing w:val="-2"/>
                <w:sz w:val="22"/>
                <w:szCs w:val="22"/>
                <w:lang w:val="en-US" w:eastAsia="zh-CN"/>
              </w:rPr>
              <w:t>运营周期</w:t>
            </w:r>
          </w:p>
        </w:tc>
        <w:tc>
          <w:tcPr>
            <w:tcW w:w="1433" w:type="dxa"/>
            <w:vAlign w:val="center"/>
          </w:tcPr>
          <w:p w14:paraId="412F14B9">
            <w:pPr>
              <w:pStyle w:val="8"/>
              <w:jc w:val="center"/>
              <w:rPr>
                <w:rFonts w:hint="eastAsia" w:ascii="仿宋" w:hAnsi="仿宋" w:eastAsia="仿宋" w:cs="仿宋"/>
              </w:rPr>
            </w:pPr>
            <w:r>
              <w:rPr>
                <w:rFonts w:hint="eastAsia" w:ascii="仿宋" w:hAnsi="仿宋" w:eastAsia="仿宋" w:cs="仿宋"/>
                <w:sz w:val="22"/>
                <w:szCs w:val="22"/>
              </w:rPr>
              <w:t>202</w:t>
            </w:r>
            <w:r>
              <w:rPr>
                <w:rFonts w:hint="eastAsia" w:ascii="仿宋" w:hAnsi="仿宋" w:eastAsia="仿宋" w:cs="仿宋"/>
                <w:sz w:val="22"/>
                <w:szCs w:val="22"/>
                <w:lang w:val="en-US" w:eastAsia="zh-CN"/>
              </w:rPr>
              <w:t>4</w:t>
            </w:r>
            <w:r>
              <w:rPr>
                <w:rFonts w:hint="eastAsia" w:ascii="仿宋" w:hAnsi="仿宋" w:eastAsia="仿宋" w:cs="仿宋"/>
                <w:sz w:val="22"/>
                <w:szCs w:val="22"/>
              </w:rPr>
              <w:t>.01-202</w:t>
            </w:r>
            <w:r>
              <w:rPr>
                <w:rFonts w:hint="eastAsia" w:ascii="仿宋" w:hAnsi="仿宋" w:eastAsia="仿宋" w:cs="仿宋"/>
                <w:sz w:val="22"/>
                <w:szCs w:val="22"/>
                <w:lang w:val="en-US" w:eastAsia="zh-CN"/>
              </w:rPr>
              <w:t>4</w:t>
            </w:r>
            <w:r>
              <w:rPr>
                <w:rFonts w:hint="eastAsia" w:ascii="仿宋" w:hAnsi="仿宋" w:eastAsia="仿宋" w:cs="仿宋"/>
                <w:sz w:val="22"/>
                <w:szCs w:val="22"/>
              </w:rPr>
              <w:t>.12</w:t>
            </w:r>
          </w:p>
        </w:tc>
        <w:tc>
          <w:tcPr>
            <w:tcW w:w="1411" w:type="dxa"/>
            <w:vAlign w:val="center"/>
          </w:tcPr>
          <w:p w14:paraId="6B221FA9">
            <w:pPr>
              <w:pStyle w:val="8"/>
              <w:jc w:val="center"/>
              <w:rPr>
                <w:rFonts w:hint="eastAsia" w:ascii="仿宋" w:hAnsi="仿宋" w:eastAsia="仿宋" w:cs="仿宋"/>
              </w:rPr>
            </w:pPr>
            <w:r>
              <w:rPr>
                <w:rFonts w:hint="eastAsia" w:ascii="仿宋" w:hAnsi="仿宋" w:eastAsia="仿宋" w:cs="仿宋"/>
                <w:sz w:val="22"/>
                <w:szCs w:val="22"/>
              </w:rPr>
              <w:t>202</w:t>
            </w:r>
            <w:r>
              <w:rPr>
                <w:rFonts w:hint="eastAsia" w:ascii="仿宋" w:hAnsi="仿宋" w:eastAsia="仿宋" w:cs="仿宋"/>
                <w:sz w:val="22"/>
                <w:szCs w:val="22"/>
                <w:lang w:val="en-US" w:eastAsia="zh-CN"/>
              </w:rPr>
              <w:t>4</w:t>
            </w:r>
            <w:r>
              <w:rPr>
                <w:rFonts w:hint="eastAsia" w:ascii="仿宋" w:hAnsi="仿宋" w:eastAsia="仿宋" w:cs="仿宋"/>
                <w:sz w:val="22"/>
                <w:szCs w:val="22"/>
              </w:rPr>
              <w:t>.01-202</w:t>
            </w:r>
            <w:r>
              <w:rPr>
                <w:rFonts w:hint="eastAsia" w:ascii="仿宋" w:hAnsi="仿宋" w:eastAsia="仿宋" w:cs="仿宋"/>
                <w:sz w:val="22"/>
                <w:szCs w:val="22"/>
                <w:lang w:val="en-US" w:eastAsia="zh-CN"/>
              </w:rPr>
              <w:t>4</w:t>
            </w:r>
            <w:r>
              <w:rPr>
                <w:rFonts w:hint="eastAsia" w:ascii="仿宋" w:hAnsi="仿宋" w:eastAsia="仿宋" w:cs="仿宋"/>
                <w:sz w:val="22"/>
                <w:szCs w:val="22"/>
              </w:rPr>
              <w:t>.12</w:t>
            </w:r>
          </w:p>
        </w:tc>
        <w:tc>
          <w:tcPr>
            <w:tcW w:w="690" w:type="dxa"/>
            <w:vAlign w:val="center"/>
          </w:tcPr>
          <w:p w14:paraId="239C5095">
            <w:pPr>
              <w:pStyle w:val="8"/>
              <w:jc w:val="center"/>
              <w:rPr>
                <w:rFonts w:hint="default" w:ascii="仿宋" w:hAnsi="仿宋" w:eastAsia="仿宋" w:cs="仿宋"/>
                <w:lang w:val="en-US" w:eastAsia="zh-CN"/>
              </w:rPr>
            </w:pPr>
            <w:r>
              <w:rPr>
                <w:rFonts w:hint="eastAsia" w:ascii="仿宋" w:hAnsi="仿宋" w:eastAsia="仿宋" w:cs="仿宋"/>
                <w:lang w:val="en-US" w:eastAsia="zh-CN"/>
              </w:rPr>
              <w:t>10</w:t>
            </w:r>
          </w:p>
        </w:tc>
        <w:tc>
          <w:tcPr>
            <w:tcW w:w="849" w:type="dxa"/>
            <w:shd w:val="clear" w:color="auto" w:fill="auto"/>
            <w:vAlign w:val="center"/>
          </w:tcPr>
          <w:p w14:paraId="1CED1880">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w:t>
            </w:r>
          </w:p>
        </w:tc>
        <w:tc>
          <w:tcPr>
            <w:tcW w:w="772" w:type="dxa"/>
            <w:vAlign w:val="center"/>
          </w:tcPr>
          <w:p w14:paraId="3E76DE72">
            <w:pPr>
              <w:pStyle w:val="8"/>
              <w:jc w:val="center"/>
              <w:rPr>
                <w:rFonts w:hint="eastAsia" w:ascii="仿宋" w:hAnsi="仿宋" w:eastAsia="仿宋" w:cs="仿宋"/>
              </w:rPr>
            </w:pPr>
          </w:p>
        </w:tc>
      </w:tr>
      <w:tr w14:paraId="0B348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trPr>
        <w:tc>
          <w:tcPr>
            <w:tcW w:w="1665" w:type="dxa"/>
            <w:vMerge w:val="continue"/>
            <w:tcBorders>
              <w:top w:val="nil"/>
              <w:bottom w:val="nil"/>
            </w:tcBorders>
            <w:textDirection w:val="tbRlV"/>
            <w:vAlign w:val="center"/>
          </w:tcPr>
          <w:p w14:paraId="554D8CD3">
            <w:pPr>
              <w:pStyle w:val="8"/>
              <w:jc w:val="center"/>
              <w:rPr>
                <w:rFonts w:hint="eastAsia" w:ascii="仿宋" w:hAnsi="仿宋" w:eastAsia="仿宋" w:cs="仿宋"/>
              </w:rPr>
            </w:pPr>
          </w:p>
        </w:tc>
        <w:tc>
          <w:tcPr>
            <w:tcW w:w="1004" w:type="dxa"/>
            <w:vMerge w:val="continue"/>
            <w:tcBorders>
              <w:top w:val="nil"/>
              <w:bottom w:val="nil"/>
            </w:tcBorders>
            <w:vAlign w:val="center"/>
          </w:tcPr>
          <w:p w14:paraId="60E5CD31">
            <w:pPr>
              <w:pStyle w:val="8"/>
              <w:jc w:val="center"/>
              <w:rPr>
                <w:rFonts w:hint="eastAsia" w:ascii="仿宋" w:hAnsi="仿宋" w:eastAsia="仿宋" w:cs="仿宋"/>
              </w:rPr>
            </w:pPr>
          </w:p>
        </w:tc>
        <w:tc>
          <w:tcPr>
            <w:tcW w:w="990" w:type="dxa"/>
            <w:tcBorders>
              <w:bottom w:val="nil"/>
            </w:tcBorders>
            <w:vAlign w:val="center"/>
          </w:tcPr>
          <w:p w14:paraId="2DA9C525">
            <w:pPr>
              <w:pStyle w:val="8"/>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成本指标</w:t>
            </w:r>
          </w:p>
        </w:tc>
        <w:tc>
          <w:tcPr>
            <w:tcW w:w="1536" w:type="dxa"/>
            <w:vAlign w:val="center"/>
          </w:tcPr>
          <w:p w14:paraId="79E7E9EA">
            <w:pPr>
              <w:pStyle w:val="8"/>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单个企业入驻成本</w:t>
            </w:r>
          </w:p>
        </w:tc>
        <w:tc>
          <w:tcPr>
            <w:tcW w:w="1433" w:type="dxa"/>
            <w:vAlign w:val="center"/>
          </w:tcPr>
          <w:p w14:paraId="1666D0A7">
            <w:pPr>
              <w:pStyle w:val="8"/>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≤5万元</w:t>
            </w:r>
          </w:p>
        </w:tc>
        <w:tc>
          <w:tcPr>
            <w:tcW w:w="1411" w:type="dxa"/>
            <w:vAlign w:val="center"/>
          </w:tcPr>
          <w:p w14:paraId="45A582A7">
            <w:pPr>
              <w:pStyle w:val="8"/>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1万元</w:t>
            </w:r>
          </w:p>
        </w:tc>
        <w:tc>
          <w:tcPr>
            <w:tcW w:w="690" w:type="dxa"/>
            <w:vAlign w:val="center"/>
          </w:tcPr>
          <w:p w14:paraId="0D8B5EF9">
            <w:pPr>
              <w:pStyle w:val="8"/>
              <w:jc w:val="center"/>
              <w:rPr>
                <w:rFonts w:hint="default"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10</w:t>
            </w:r>
          </w:p>
        </w:tc>
        <w:tc>
          <w:tcPr>
            <w:tcW w:w="849" w:type="dxa"/>
            <w:shd w:val="clear" w:color="auto" w:fill="auto"/>
            <w:vAlign w:val="center"/>
          </w:tcPr>
          <w:p w14:paraId="712E4564">
            <w:pPr>
              <w:pStyle w:val="8"/>
              <w:jc w:val="center"/>
              <w:rPr>
                <w:rFonts w:hint="eastAsia" w:ascii="仿宋" w:hAnsi="仿宋" w:eastAsia="仿宋" w:cs="仿宋"/>
                <w:snapToGrid w:val="0"/>
                <w:color w:val="000000"/>
                <w:spacing w:val="-2"/>
                <w:kern w:val="0"/>
                <w:sz w:val="22"/>
                <w:szCs w:val="22"/>
                <w:lang w:val="en-US" w:eastAsia="zh-CN" w:bidi="ar-SA"/>
              </w:rPr>
            </w:pPr>
            <w:r>
              <w:rPr>
                <w:rFonts w:hint="eastAsia" w:ascii="仿宋" w:hAnsi="仿宋" w:eastAsia="仿宋" w:cs="仿宋"/>
                <w:spacing w:val="-2"/>
                <w:sz w:val="22"/>
                <w:szCs w:val="22"/>
                <w:lang w:val="en-US" w:eastAsia="zh-CN"/>
              </w:rPr>
              <w:t>10</w:t>
            </w:r>
          </w:p>
        </w:tc>
        <w:tc>
          <w:tcPr>
            <w:tcW w:w="772" w:type="dxa"/>
            <w:vAlign w:val="center"/>
          </w:tcPr>
          <w:p w14:paraId="35E8F7FE">
            <w:pPr>
              <w:pStyle w:val="8"/>
              <w:jc w:val="center"/>
              <w:rPr>
                <w:rFonts w:hint="eastAsia" w:ascii="仿宋" w:hAnsi="仿宋" w:eastAsia="仿宋" w:cs="仿宋"/>
                <w:spacing w:val="-2"/>
                <w:sz w:val="22"/>
                <w:szCs w:val="22"/>
                <w:lang w:val="en-US" w:eastAsia="zh-CN"/>
              </w:rPr>
            </w:pPr>
          </w:p>
        </w:tc>
      </w:tr>
      <w:tr w14:paraId="5DF0C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1665" w:type="dxa"/>
            <w:vMerge w:val="continue"/>
            <w:tcBorders>
              <w:top w:val="nil"/>
              <w:bottom w:val="nil"/>
            </w:tcBorders>
            <w:textDirection w:val="tbRlV"/>
            <w:vAlign w:val="center"/>
          </w:tcPr>
          <w:p w14:paraId="2AF59FBB">
            <w:pPr>
              <w:pStyle w:val="8"/>
              <w:jc w:val="center"/>
              <w:rPr>
                <w:rFonts w:hint="eastAsia" w:ascii="仿宋" w:hAnsi="仿宋" w:eastAsia="仿宋" w:cs="仿宋"/>
              </w:rPr>
            </w:pPr>
          </w:p>
        </w:tc>
        <w:tc>
          <w:tcPr>
            <w:tcW w:w="1004" w:type="dxa"/>
            <w:vMerge w:val="restart"/>
            <w:vAlign w:val="center"/>
          </w:tcPr>
          <w:p w14:paraId="1F196CE0">
            <w:pPr>
              <w:spacing w:before="72" w:line="220" w:lineRule="auto"/>
              <w:ind w:left="81"/>
              <w:jc w:val="center"/>
              <w:rPr>
                <w:rFonts w:hint="eastAsia" w:ascii="仿宋" w:hAnsi="仿宋" w:eastAsia="仿宋" w:cs="仿宋"/>
                <w:sz w:val="22"/>
                <w:szCs w:val="22"/>
              </w:rPr>
            </w:pPr>
            <w:r>
              <w:rPr>
                <w:rFonts w:hint="eastAsia" w:ascii="仿宋" w:hAnsi="仿宋" w:eastAsia="仿宋" w:cs="仿宋"/>
                <w:spacing w:val="2"/>
                <w:sz w:val="22"/>
                <w:szCs w:val="22"/>
              </w:rPr>
              <w:t>效益指标</w:t>
            </w:r>
            <w:r>
              <w:rPr>
                <w:rFonts w:hint="eastAsia" w:ascii="仿宋" w:hAnsi="仿宋" w:eastAsia="仿宋" w:cs="仿宋"/>
                <w:spacing w:val="9"/>
                <w:sz w:val="22"/>
                <w:szCs w:val="22"/>
              </w:rPr>
              <w:t>(30分)</w:t>
            </w:r>
          </w:p>
        </w:tc>
        <w:tc>
          <w:tcPr>
            <w:tcW w:w="990" w:type="dxa"/>
            <w:tcBorders>
              <w:bottom w:val="nil"/>
            </w:tcBorders>
            <w:vAlign w:val="center"/>
          </w:tcPr>
          <w:p w14:paraId="2CCBE306">
            <w:pPr>
              <w:pStyle w:val="8"/>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经济效益指标</w:t>
            </w:r>
          </w:p>
        </w:tc>
        <w:tc>
          <w:tcPr>
            <w:tcW w:w="1536" w:type="dxa"/>
            <w:vAlign w:val="center"/>
          </w:tcPr>
          <w:p w14:paraId="2E31DDC3">
            <w:pPr>
              <w:pStyle w:val="8"/>
              <w:jc w:val="center"/>
              <w:rPr>
                <w:rFonts w:hint="eastAsia" w:ascii="仿宋" w:hAnsi="仿宋" w:eastAsia="仿宋" w:cs="仿宋"/>
              </w:rPr>
            </w:pPr>
            <w:r>
              <w:rPr>
                <w:rFonts w:hint="eastAsia" w:ascii="仿宋" w:hAnsi="仿宋" w:eastAsia="仿宋" w:cs="仿宋"/>
                <w:spacing w:val="-2"/>
                <w:sz w:val="22"/>
                <w:szCs w:val="22"/>
                <w:lang w:val="en-US" w:eastAsia="zh-CN"/>
              </w:rPr>
              <w:t>营业额较去年增加</w:t>
            </w:r>
          </w:p>
        </w:tc>
        <w:tc>
          <w:tcPr>
            <w:tcW w:w="1433" w:type="dxa"/>
            <w:vAlign w:val="center"/>
          </w:tcPr>
          <w:p w14:paraId="3AD9939B">
            <w:pPr>
              <w:pStyle w:val="8"/>
              <w:jc w:val="center"/>
              <w:rPr>
                <w:rFonts w:hint="eastAsia" w:ascii="仿宋" w:hAnsi="仿宋" w:eastAsia="仿宋" w:cs="仿宋"/>
              </w:rPr>
            </w:pPr>
            <w:r>
              <w:rPr>
                <w:rFonts w:hint="eastAsia" w:ascii="仿宋" w:hAnsi="仿宋" w:eastAsia="仿宋" w:cs="仿宋"/>
                <w:snapToGrid/>
                <w:color w:val="auto"/>
                <w:spacing w:val="-2"/>
                <w:kern w:val="2"/>
                <w:sz w:val="22"/>
                <w:szCs w:val="22"/>
                <w:lang w:val="en-US" w:eastAsia="zh-CN" w:bidi="ar-SA"/>
              </w:rPr>
              <w:t>提升10%</w:t>
            </w:r>
          </w:p>
        </w:tc>
        <w:tc>
          <w:tcPr>
            <w:tcW w:w="1411" w:type="dxa"/>
            <w:vAlign w:val="center"/>
          </w:tcPr>
          <w:p w14:paraId="20D3D38C">
            <w:pPr>
              <w:pStyle w:val="8"/>
              <w:jc w:val="center"/>
              <w:rPr>
                <w:rFonts w:hint="eastAsia" w:ascii="仿宋" w:hAnsi="仿宋" w:eastAsia="仿宋" w:cs="仿宋"/>
              </w:rPr>
            </w:pPr>
            <w:r>
              <w:rPr>
                <w:rFonts w:hint="eastAsia" w:ascii="仿宋" w:hAnsi="仿宋" w:eastAsia="仿宋" w:cs="仿宋"/>
                <w:snapToGrid/>
                <w:color w:val="auto"/>
                <w:spacing w:val="-2"/>
                <w:kern w:val="2"/>
                <w:sz w:val="22"/>
                <w:szCs w:val="22"/>
                <w:lang w:val="en-US" w:eastAsia="zh-CN" w:bidi="ar-SA"/>
              </w:rPr>
              <w:t>提升10%</w:t>
            </w:r>
          </w:p>
        </w:tc>
        <w:tc>
          <w:tcPr>
            <w:tcW w:w="690" w:type="dxa"/>
            <w:vAlign w:val="center"/>
          </w:tcPr>
          <w:p w14:paraId="43AEB16F">
            <w:pPr>
              <w:pStyle w:val="8"/>
              <w:jc w:val="center"/>
              <w:rPr>
                <w:rFonts w:hint="default" w:ascii="仿宋" w:hAnsi="仿宋" w:eastAsia="仿宋" w:cs="仿宋"/>
                <w:lang w:val="en-US" w:eastAsia="zh-CN"/>
              </w:rPr>
            </w:pPr>
            <w:r>
              <w:rPr>
                <w:rFonts w:hint="eastAsia" w:ascii="仿宋" w:hAnsi="仿宋" w:eastAsia="仿宋" w:cs="仿宋"/>
                <w:lang w:val="en-US" w:eastAsia="zh-CN"/>
              </w:rPr>
              <w:t>9</w:t>
            </w:r>
          </w:p>
        </w:tc>
        <w:tc>
          <w:tcPr>
            <w:tcW w:w="849" w:type="dxa"/>
            <w:vAlign w:val="center"/>
          </w:tcPr>
          <w:p w14:paraId="6A83E381">
            <w:pPr>
              <w:pStyle w:val="8"/>
              <w:jc w:val="center"/>
              <w:rPr>
                <w:rFonts w:hint="eastAsia" w:ascii="仿宋" w:hAnsi="仿宋" w:eastAsia="仿宋" w:cs="仿宋"/>
              </w:rPr>
            </w:pPr>
            <w:r>
              <w:rPr>
                <w:rFonts w:hint="eastAsia" w:ascii="仿宋" w:hAnsi="仿宋" w:eastAsia="仿宋" w:cs="仿宋"/>
                <w:lang w:val="en-US" w:eastAsia="zh-CN"/>
              </w:rPr>
              <w:t>9</w:t>
            </w:r>
          </w:p>
        </w:tc>
        <w:tc>
          <w:tcPr>
            <w:tcW w:w="772" w:type="dxa"/>
            <w:vAlign w:val="center"/>
          </w:tcPr>
          <w:p w14:paraId="1A76A446">
            <w:pPr>
              <w:pStyle w:val="8"/>
              <w:jc w:val="center"/>
              <w:rPr>
                <w:rFonts w:hint="eastAsia" w:ascii="仿宋" w:hAnsi="仿宋" w:eastAsia="仿宋" w:cs="仿宋"/>
              </w:rPr>
            </w:pPr>
          </w:p>
        </w:tc>
      </w:tr>
      <w:tr w14:paraId="5EE07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1665" w:type="dxa"/>
            <w:vMerge w:val="continue"/>
            <w:tcBorders>
              <w:top w:val="nil"/>
              <w:bottom w:val="nil"/>
            </w:tcBorders>
            <w:textDirection w:val="tbRlV"/>
            <w:vAlign w:val="center"/>
          </w:tcPr>
          <w:p w14:paraId="0F658B06">
            <w:pPr>
              <w:pStyle w:val="8"/>
              <w:jc w:val="center"/>
              <w:rPr>
                <w:rFonts w:hint="eastAsia" w:ascii="仿宋" w:hAnsi="仿宋" w:eastAsia="仿宋" w:cs="仿宋"/>
              </w:rPr>
            </w:pPr>
          </w:p>
        </w:tc>
        <w:tc>
          <w:tcPr>
            <w:tcW w:w="1004" w:type="dxa"/>
            <w:vMerge w:val="continue"/>
            <w:vAlign w:val="center"/>
          </w:tcPr>
          <w:p w14:paraId="6EA4F4E9">
            <w:pPr>
              <w:pStyle w:val="8"/>
              <w:jc w:val="center"/>
              <w:rPr>
                <w:rFonts w:hint="eastAsia" w:ascii="仿宋" w:hAnsi="仿宋" w:eastAsia="仿宋" w:cs="仿宋"/>
              </w:rPr>
            </w:pPr>
          </w:p>
        </w:tc>
        <w:tc>
          <w:tcPr>
            <w:tcW w:w="990" w:type="dxa"/>
            <w:tcBorders>
              <w:bottom w:val="nil"/>
            </w:tcBorders>
            <w:vAlign w:val="center"/>
          </w:tcPr>
          <w:p w14:paraId="1C8D5F49">
            <w:pPr>
              <w:pStyle w:val="8"/>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社会效益指标</w:t>
            </w:r>
          </w:p>
        </w:tc>
        <w:tc>
          <w:tcPr>
            <w:tcW w:w="1536" w:type="dxa"/>
            <w:vAlign w:val="center"/>
          </w:tcPr>
          <w:p w14:paraId="2E8BD235">
            <w:pPr>
              <w:pStyle w:val="8"/>
              <w:jc w:val="center"/>
              <w:rPr>
                <w:rFonts w:hint="eastAsia" w:ascii="仿宋" w:hAnsi="仿宋" w:eastAsia="仿宋" w:cs="仿宋"/>
              </w:rPr>
            </w:pPr>
            <w:r>
              <w:rPr>
                <w:rFonts w:hint="eastAsia" w:ascii="仿宋" w:hAnsi="仿宋" w:eastAsia="仿宋" w:cs="仿宋"/>
                <w:spacing w:val="-2"/>
                <w:sz w:val="22"/>
                <w:szCs w:val="22"/>
                <w:lang w:val="en-US" w:eastAsia="zh-CN"/>
              </w:rPr>
              <w:t>乡村振兴有效衔接</w:t>
            </w:r>
          </w:p>
        </w:tc>
        <w:tc>
          <w:tcPr>
            <w:tcW w:w="1433" w:type="dxa"/>
            <w:vAlign w:val="center"/>
          </w:tcPr>
          <w:p w14:paraId="026260E2">
            <w:pPr>
              <w:pStyle w:val="8"/>
              <w:jc w:val="center"/>
              <w:rPr>
                <w:rFonts w:hint="eastAsia" w:ascii="仿宋" w:hAnsi="仿宋" w:eastAsia="仿宋" w:cs="仿宋"/>
              </w:rPr>
            </w:pPr>
            <w:r>
              <w:rPr>
                <w:rFonts w:hint="eastAsia" w:ascii="仿宋" w:hAnsi="仿宋" w:eastAsia="仿宋" w:cs="仿宋"/>
                <w:snapToGrid/>
                <w:color w:val="auto"/>
                <w:spacing w:val="-2"/>
                <w:kern w:val="2"/>
                <w:sz w:val="22"/>
                <w:szCs w:val="22"/>
                <w:lang w:val="en-US" w:eastAsia="zh-CN" w:bidi="ar-SA"/>
              </w:rPr>
              <w:t>提高为农服务水平，助农增收增产</w:t>
            </w:r>
          </w:p>
        </w:tc>
        <w:tc>
          <w:tcPr>
            <w:tcW w:w="1411" w:type="dxa"/>
            <w:vAlign w:val="center"/>
          </w:tcPr>
          <w:p w14:paraId="75CA8DC5">
            <w:pPr>
              <w:pStyle w:val="8"/>
              <w:jc w:val="center"/>
              <w:rPr>
                <w:rFonts w:hint="eastAsia" w:ascii="仿宋" w:hAnsi="仿宋" w:eastAsia="仿宋" w:cs="仿宋"/>
              </w:rPr>
            </w:pPr>
            <w:r>
              <w:rPr>
                <w:rFonts w:hint="eastAsia" w:ascii="仿宋" w:hAnsi="仿宋" w:eastAsia="仿宋" w:cs="仿宋"/>
                <w:snapToGrid/>
                <w:color w:val="auto"/>
                <w:spacing w:val="-2"/>
                <w:kern w:val="2"/>
                <w:sz w:val="22"/>
                <w:szCs w:val="22"/>
                <w:lang w:val="en-US" w:eastAsia="zh-CN" w:bidi="ar-SA"/>
              </w:rPr>
              <w:t>促进了农产品质量安全升级</w:t>
            </w:r>
          </w:p>
        </w:tc>
        <w:tc>
          <w:tcPr>
            <w:tcW w:w="690" w:type="dxa"/>
            <w:vAlign w:val="center"/>
          </w:tcPr>
          <w:p w14:paraId="5E31C53F">
            <w:pPr>
              <w:pStyle w:val="8"/>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849" w:type="dxa"/>
            <w:vAlign w:val="center"/>
          </w:tcPr>
          <w:p w14:paraId="46CDA289">
            <w:pPr>
              <w:pStyle w:val="8"/>
              <w:jc w:val="center"/>
              <w:rPr>
                <w:rFonts w:hint="eastAsia" w:ascii="仿宋" w:hAnsi="仿宋" w:eastAsia="仿宋" w:cs="仿宋"/>
              </w:rPr>
            </w:pPr>
            <w:r>
              <w:rPr>
                <w:rFonts w:hint="eastAsia" w:ascii="仿宋" w:hAnsi="仿宋" w:eastAsia="仿宋" w:cs="仿宋"/>
                <w:lang w:val="en-US" w:eastAsia="zh-CN"/>
              </w:rPr>
              <w:t>7</w:t>
            </w:r>
          </w:p>
        </w:tc>
        <w:tc>
          <w:tcPr>
            <w:tcW w:w="772" w:type="dxa"/>
            <w:vAlign w:val="center"/>
          </w:tcPr>
          <w:p w14:paraId="3A9A30B7">
            <w:pPr>
              <w:pStyle w:val="8"/>
              <w:jc w:val="center"/>
              <w:rPr>
                <w:rFonts w:hint="eastAsia" w:ascii="仿宋" w:hAnsi="仿宋" w:eastAsia="仿宋" w:cs="仿宋"/>
              </w:rPr>
            </w:pPr>
          </w:p>
        </w:tc>
      </w:tr>
      <w:tr w14:paraId="06AB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665" w:type="dxa"/>
            <w:vMerge w:val="continue"/>
            <w:tcBorders>
              <w:top w:val="nil"/>
              <w:bottom w:val="nil"/>
            </w:tcBorders>
            <w:textDirection w:val="tbRlV"/>
            <w:vAlign w:val="center"/>
          </w:tcPr>
          <w:p w14:paraId="5B9BC26C">
            <w:pPr>
              <w:pStyle w:val="8"/>
              <w:jc w:val="center"/>
              <w:rPr>
                <w:rFonts w:hint="eastAsia" w:ascii="仿宋" w:hAnsi="仿宋" w:eastAsia="仿宋" w:cs="仿宋"/>
              </w:rPr>
            </w:pPr>
          </w:p>
        </w:tc>
        <w:tc>
          <w:tcPr>
            <w:tcW w:w="1004" w:type="dxa"/>
            <w:vMerge w:val="continue"/>
            <w:vAlign w:val="center"/>
          </w:tcPr>
          <w:p w14:paraId="75212098">
            <w:pPr>
              <w:pStyle w:val="8"/>
              <w:jc w:val="center"/>
              <w:rPr>
                <w:rFonts w:hint="eastAsia" w:ascii="仿宋" w:hAnsi="仿宋" w:eastAsia="仿宋" w:cs="仿宋"/>
              </w:rPr>
            </w:pPr>
          </w:p>
        </w:tc>
        <w:tc>
          <w:tcPr>
            <w:tcW w:w="990" w:type="dxa"/>
            <w:tcBorders>
              <w:bottom w:val="nil"/>
            </w:tcBorders>
            <w:vAlign w:val="center"/>
          </w:tcPr>
          <w:p w14:paraId="55F5A48E">
            <w:pPr>
              <w:pStyle w:val="8"/>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生态效益指标</w:t>
            </w:r>
          </w:p>
        </w:tc>
        <w:tc>
          <w:tcPr>
            <w:tcW w:w="1536" w:type="dxa"/>
            <w:vAlign w:val="center"/>
          </w:tcPr>
          <w:p w14:paraId="2A0B010A">
            <w:pPr>
              <w:pStyle w:val="8"/>
              <w:jc w:val="center"/>
              <w:rPr>
                <w:rFonts w:hint="eastAsia" w:ascii="仿宋" w:hAnsi="仿宋" w:eastAsia="仿宋" w:cs="仿宋"/>
              </w:rPr>
            </w:pPr>
            <w:r>
              <w:rPr>
                <w:rFonts w:hint="eastAsia" w:ascii="仿宋" w:hAnsi="仿宋" w:eastAsia="仿宋" w:cs="仿宋"/>
                <w:spacing w:val="-2"/>
                <w:sz w:val="22"/>
                <w:szCs w:val="22"/>
                <w:lang w:val="en-US" w:eastAsia="zh-CN"/>
              </w:rPr>
              <w:t>对自然环境造成的负面影响</w:t>
            </w:r>
          </w:p>
        </w:tc>
        <w:tc>
          <w:tcPr>
            <w:tcW w:w="1433" w:type="dxa"/>
            <w:vAlign w:val="center"/>
          </w:tcPr>
          <w:p w14:paraId="2201C6DF">
            <w:pPr>
              <w:pStyle w:val="8"/>
              <w:jc w:val="center"/>
              <w:rPr>
                <w:rFonts w:hint="eastAsia" w:ascii="仿宋" w:hAnsi="仿宋" w:eastAsia="仿宋" w:cs="仿宋"/>
              </w:rPr>
            </w:pPr>
            <w:r>
              <w:rPr>
                <w:rFonts w:hint="eastAsia" w:ascii="仿宋" w:hAnsi="仿宋" w:eastAsia="仿宋" w:cs="仿宋"/>
                <w:spacing w:val="-2"/>
                <w:sz w:val="22"/>
                <w:szCs w:val="22"/>
                <w:lang w:val="en-US" w:eastAsia="zh-CN"/>
              </w:rPr>
              <w:t>无</w:t>
            </w:r>
          </w:p>
        </w:tc>
        <w:tc>
          <w:tcPr>
            <w:tcW w:w="1411" w:type="dxa"/>
            <w:vAlign w:val="center"/>
          </w:tcPr>
          <w:p w14:paraId="7BBBD6DE">
            <w:pPr>
              <w:pStyle w:val="8"/>
              <w:jc w:val="center"/>
              <w:rPr>
                <w:rFonts w:hint="eastAsia" w:ascii="仿宋" w:hAnsi="仿宋" w:eastAsia="仿宋" w:cs="仿宋"/>
                <w:lang w:val="en-US" w:eastAsia="zh-CN"/>
              </w:rPr>
            </w:pPr>
            <w:r>
              <w:rPr>
                <w:rFonts w:hint="eastAsia" w:ascii="仿宋" w:hAnsi="仿宋" w:eastAsia="仿宋" w:cs="仿宋"/>
                <w:spacing w:val="-2"/>
                <w:sz w:val="22"/>
                <w:szCs w:val="22"/>
                <w:lang w:val="en-US" w:eastAsia="zh-CN"/>
              </w:rPr>
              <w:t>无</w:t>
            </w:r>
          </w:p>
        </w:tc>
        <w:tc>
          <w:tcPr>
            <w:tcW w:w="690" w:type="dxa"/>
            <w:vAlign w:val="center"/>
          </w:tcPr>
          <w:p w14:paraId="1ACF43F6">
            <w:pPr>
              <w:pStyle w:val="8"/>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849" w:type="dxa"/>
            <w:vAlign w:val="center"/>
          </w:tcPr>
          <w:p w14:paraId="1DF6A0D8">
            <w:pPr>
              <w:pStyle w:val="8"/>
              <w:jc w:val="center"/>
              <w:rPr>
                <w:rFonts w:hint="eastAsia" w:ascii="仿宋" w:hAnsi="仿宋" w:eastAsia="仿宋" w:cs="仿宋"/>
              </w:rPr>
            </w:pPr>
            <w:r>
              <w:rPr>
                <w:rFonts w:hint="eastAsia" w:ascii="仿宋" w:hAnsi="仿宋" w:eastAsia="仿宋" w:cs="仿宋"/>
                <w:lang w:val="en-US" w:eastAsia="zh-CN"/>
              </w:rPr>
              <w:t>7</w:t>
            </w:r>
          </w:p>
        </w:tc>
        <w:tc>
          <w:tcPr>
            <w:tcW w:w="772" w:type="dxa"/>
            <w:vAlign w:val="center"/>
          </w:tcPr>
          <w:p w14:paraId="58C40482">
            <w:pPr>
              <w:pStyle w:val="8"/>
              <w:jc w:val="center"/>
              <w:rPr>
                <w:rFonts w:hint="eastAsia" w:ascii="仿宋" w:hAnsi="仿宋" w:eastAsia="仿宋" w:cs="仿宋"/>
              </w:rPr>
            </w:pPr>
          </w:p>
        </w:tc>
      </w:tr>
      <w:tr w14:paraId="4CED4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atLeast"/>
        </w:trPr>
        <w:tc>
          <w:tcPr>
            <w:tcW w:w="1665" w:type="dxa"/>
            <w:vMerge w:val="continue"/>
            <w:tcBorders>
              <w:top w:val="nil"/>
              <w:bottom w:val="nil"/>
            </w:tcBorders>
            <w:textDirection w:val="tbRlV"/>
            <w:vAlign w:val="center"/>
          </w:tcPr>
          <w:p w14:paraId="6EF902EB">
            <w:pPr>
              <w:pStyle w:val="8"/>
              <w:jc w:val="center"/>
              <w:rPr>
                <w:rFonts w:hint="eastAsia" w:ascii="仿宋" w:hAnsi="仿宋" w:eastAsia="仿宋" w:cs="仿宋"/>
              </w:rPr>
            </w:pPr>
          </w:p>
        </w:tc>
        <w:tc>
          <w:tcPr>
            <w:tcW w:w="1004" w:type="dxa"/>
            <w:vMerge w:val="continue"/>
            <w:vAlign w:val="center"/>
          </w:tcPr>
          <w:p w14:paraId="3BFC981B">
            <w:pPr>
              <w:pStyle w:val="8"/>
              <w:jc w:val="center"/>
              <w:rPr>
                <w:rFonts w:hint="eastAsia" w:ascii="仿宋" w:hAnsi="仿宋" w:eastAsia="仿宋" w:cs="仿宋"/>
              </w:rPr>
            </w:pPr>
          </w:p>
        </w:tc>
        <w:tc>
          <w:tcPr>
            <w:tcW w:w="990" w:type="dxa"/>
            <w:vAlign w:val="center"/>
          </w:tcPr>
          <w:p w14:paraId="440204E0">
            <w:pPr>
              <w:pStyle w:val="8"/>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可持续影响指标</w:t>
            </w:r>
          </w:p>
        </w:tc>
        <w:tc>
          <w:tcPr>
            <w:tcW w:w="1536" w:type="dxa"/>
            <w:vAlign w:val="center"/>
          </w:tcPr>
          <w:p w14:paraId="12FEAAE1">
            <w:pPr>
              <w:widowControl/>
              <w:jc w:val="both"/>
              <w:rPr>
                <w:rFonts w:hint="eastAsia" w:ascii="仿宋" w:hAnsi="仿宋" w:eastAsia="仿宋" w:cs="仿宋"/>
                <w:snapToGrid w:val="0"/>
                <w:color w:val="000000"/>
                <w:spacing w:val="-2"/>
                <w:kern w:val="0"/>
                <w:sz w:val="22"/>
                <w:szCs w:val="22"/>
                <w:lang w:val="en-US" w:eastAsia="zh-CN" w:bidi="ar-SA"/>
              </w:rPr>
            </w:pPr>
            <w:r>
              <w:rPr>
                <w:rFonts w:hint="eastAsia" w:ascii="仿宋" w:hAnsi="仿宋" w:eastAsia="仿宋" w:cs="仿宋"/>
                <w:snapToGrid w:val="0"/>
                <w:color w:val="000000"/>
                <w:spacing w:val="-2"/>
                <w:kern w:val="0"/>
                <w:sz w:val="22"/>
                <w:szCs w:val="22"/>
                <w:lang w:val="en-US" w:eastAsia="zh-CN" w:bidi="ar-SA"/>
              </w:rPr>
              <w:t>维护市场秩序，平抑农产品价格，帮促特色产业发展，保障食品安全</w:t>
            </w:r>
          </w:p>
        </w:tc>
        <w:tc>
          <w:tcPr>
            <w:tcW w:w="1433" w:type="dxa"/>
            <w:vAlign w:val="center"/>
          </w:tcPr>
          <w:p w14:paraId="6542F8DC">
            <w:pPr>
              <w:pStyle w:val="8"/>
              <w:jc w:val="center"/>
              <w:rPr>
                <w:rFonts w:hint="eastAsia" w:ascii="仿宋" w:hAnsi="仿宋" w:eastAsia="仿宋" w:cs="仿宋"/>
                <w:snapToGrid w:val="0"/>
                <w:color w:val="000000"/>
                <w:spacing w:val="-2"/>
                <w:kern w:val="0"/>
                <w:sz w:val="22"/>
                <w:szCs w:val="22"/>
                <w:lang w:val="en-US" w:eastAsia="zh-CN" w:bidi="ar-SA"/>
              </w:rPr>
            </w:pPr>
            <w:r>
              <w:rPr>
                <w:rFonts w:hint="eastAsia" w:ascii="仿宋" w:hAnsi="仿宋" w:eastAsia="仿宋" w:cs="仿宋"/>
                <w:snapToGrid w:val="0"/>
                <w:color w:val="000000"/>
                <w:spacing w:val="-2"/>
                <w:kern w:val="0"/>
                <w:sz w:val="22"/>
                <w:szCs w:val="22"/>
                <w:lang w:val="en-US" w:eastAsia="zh-CN" w:bidi="ar-SA"/>
              </w:rPr>
              <w:t>打击假冒伪劣农产品、平抑农产品价格，提高农产品品质，增产增收，确保食品安全</w:t>
            </w:r>
          </w:p>
        </w:tc>
        <w:tc>
          <w:tcPr>
            <w:tcW w:w="1411" w:type="dxa"/>
            <w:vAlign w:val="center"/>
          </w:tcPr>
          <w:p w14:paraId="724D70CA">
            <w:pPr>
              <w:pStyle w:val="8"/>
              <w:jc w:val="center"/>
              <w:rPr>
                <w:rFonts w:hint="eastAsia" w:ascii="仿宋" w:hAnsi="仿宋" w:eastAsia="仿宋" w:cs="仿宋"/>
              </w:rPr>
            </w:pPr>
            <w:r>
              <w:rPr>
                <w:rFonts w:hint="eastAsia" w:ascii="仿宋" w:hAnsi="仿宋" w:eastAsia="仿宋" w:cs="仿宋"/>
                <w:snapToGrid w:val="0"/>
                <w:color w:val="000000"/>
                <w:spacing w:val="-2"/>
                <w:kern w:val="0"/>
                <w:sz w:val="22"/>
                <w:szCs w:val="22"/>
                <w:lang w:val="en-US" w:eastAsia="zh-CN" w:bidi="ar-SA"/>
              </w:rPr>
              <w:t>打击假冒伪劣农产品、平抑农产品价格，提高农产品品质，增产增收，确保食品安全</w:t>
            </w:r>
          </w:p>
        </w:tc>
        <w:tc>
          <w:tcPr>
            <w:tcW w:w="690" w:type="dxa"/>
            <w:vAlign w:val="center"/>
          </w:tcPr>
          <w:p w14:paraId="2AFF05FC">
            <w:pPr>
              <w:pStyle w:val="8"/>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849" w:type="dxa"/>
            <w:vAlign w:val="center"/>
          </w:tcPr>
          <w:p w14:paraId="6D9B9C41">
            <w:pPr>
              <w:pStyle w:val="8"/>
              <w:jc w:val="center"/>
              <w:rPr>
                <w:rFonts w:hint="eastAsia" w:ascii="仿宋" w:hAnsi="仿宋" w:eastAsia="仿宋" w:cs="仿宋"/>
              </w:rPr>
            </w:pPr>
            <w:r>
              <w:rPr>
                <w:rFonts w:hint="eastAsia" w:ascii="仿宋" w:hAnsi="仿宋" w:eastAsia="仿宋" w:cs="仿宋"/>
                <w:lang w:val="en-US" w:eastAsia="zh-CN"/>
              </w:rPr>
              <w:t>7</w:t>
            </w:r>
          </w:p>
        </w:tc>
        <w:tc>
          <w:tcPr>
            <w:tcW w:w="772" w:type="dxa"/>
            <w:vAlign w:val="center"/>
          </w:tcPr>
          <w:p w14:paraId="03C11C52">
            <w:pPr>
              <w:pStyle w:val="8"/>
              <w:jc w:val="center"/>
              <w:rPr>
                <w:rFonts w:hint="eastAsia" w:ascii="仿宋" w:hAnsi="仿宋" w:eastAsia="仿宋" w:cs="仿宋"/>
              </w:rPr>
            </w:pPr>
          </w:p>
        </w:tc>
      </w:tr>
      <w:tr w14:paraId="5489E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9" w:hRule="atLeast"/>
        </w:trPr>
        <w:tc>
          <w:tcPr>
            <w:tcW w:w="1665" w:type="dxa"/>
            <w:vMerge w:val="continue"/>
            <w:tcBorders>
              <w:top w:val="nil"/>
              <w:bottom w:val="nil"/>
            </w:tcBorders>
            <w:textDirection w:val="tbRlV"/>
            <w:vAlign w:val="center"/>
          </w:tcPr>
          <w:p w14:paraId="130153B7">
            <w:pPr>
              <w:pStyle w:val="8"/>
              <w:jc w:val="center"/>
              <w:rPr>
                <w:rFonts w:hint="eastAsia" w:ascii="仿宋" w:hAnsi="仿宋" w:eastAsia="仿宋" w:cs="仿宋"/>
              </w:rPr>
            </w:pPr>
          </w:p>
        </w:tc>
        <w:tc>
          <w:tcPr>
            <w:tcW w:w="1004" w:type="dxa"/>
            <w:tcBorders>
              <w:bottom w:val="nil"/>
            </w:tcBorders>
            <w:vAlign w:val="center"/>
          </w:tcPr>
          <w:p w14:paraId="5749F357">
            <w:pPr>
              <w:spacing w:before="69" w:line="219" w:lineRule="auto"/>
              <w:ind w:left="190"/>
              <w:jc w:val="both"/>
              <w:rPr>
                <w:rFonts w:hint="eastAsia" w:ascii="仿宋" w:hAnsi="仿宋" w:eastAsia="仿宋" w:cs="仿宋"/>
                <w:sz w:val="22"/>
                <w:szCs w:val="22"/>
              </w:rPr>
            </w:pPr>
            <w:r>
              <w:rPr>
                <w:rFonts w:hint="eastAsia" w:ascii="仿宋" w:hAnsi="仿宋" w:eastAsia="仿宋" w:cs="仿宋"/>
                <w:spacing w:val="4"/>
                <w:sz w:val="22"/>
                <w:szCs w:val="22"/>
              </w:rPr>
              <w:t>满意度</w:t>
            </w:r>
            <w:r>
              <w:rPr>
                <w:rFonts w:hint="eastAsia" w:ascii="仿宋" w:hAnsi="仿宋" w:eastAsia="仿宋" w:cs="仿宋"/>
                <w:spacing w:val="-3"/>
                <w:sz w:val="22"/>
                <w:szCs w:val="22"/>
              </w:rPr>
              <w:t>指标</w:t>
            </w:r>
            <w:r>
              <w:rPr>
                <w:rFonts w:hint="eastAsia" w:ascii="仿宋" w:hAnsi="仿宋" w:eastAsia="仿宋" w:cs="仿宋"/>
                <w:spacing w:val="9"/>
                <w:sz w:val="22"/>
                <w:szCs w:val="22"/>
              </w:rPr>
              <w:t>(10分)</w:t>
            </w:r>
          </w:p>
        </w:tc>
        <w:tc>
          <w:tcPr>
            <w:tcW w:w="990" w:type="dxa"/>
            <w:tcBorders>
              <w:bottom w:val="nil"/>
            </w:tcBorders>
            <w:vAlign w:val="center"/>
          </w:tcPr>
          <w:p w14:paraId="69B77730">
            <w:pPr>
              <w:pStyle w:val="8"/>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服务对象满意度指标</w:t>
            </w:r>
          </w:p>
        </w:tc>
        <w:tc>
          <w:tcPr>
            <w:tcW w:w="1536" w:type="dxa"/>
            <w:vAlign w:val="center"/>
          </w:tcPr>
          <w:p w14:paraId="254FF402">
            <w:pPr>
              <w:pStyle w:val="8"/>
              <w:jc w:val="center"/>
              <w:rPr>
                <w:rFonts w:hint="eastAsia" w:ascii="仿宋" w:hAnsi="仿宋" w:eastAsia="仿宋" w:cs="仿宋"/>
              </w:rPr>
            </w:pPr>
            <w:r>
              <w:rPr>
                <w:rFonts w:hint="eastAsia" w:ascii="仿宋" w:hAnsi="仿宋" w:eastAsia="仿宋" w:cs="仿宋"/>
                <w:spacing w:val="-2"/>
                <w:sz w:val="22"/>
                <w:szCs w:val="22"/>
                <w:lang w:val="en-US" w:eastAsia="zh-CN"/>
              </w:rPr>
              <w:t>服务对象满意度</w:t>
            </w:r>
          </w:p>
        </w:tc>
        <w:tc>
          <w:tcPr>
            <w:tcW w:w="1433" w:type="dxa"/>
            <w:vAlign w:val="center"/>
          </w:tcPr>
          <w:p w14:paraId="44A0AF05">
            <w:pPr>
              <w:pStyle w:val="8"/>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≥98%</w:t>
            </w:r>
          </w:p>
        </w:tc>
        <w:tc>
          <w:tcPr>
            <w:tcW w:w="1411" w:type="dxa"/>
            <w:vAlign w:val="center"/>
          </w:tcPr>
          <w:p w14:paraId="069F0CAD">
            <w:pPr>
              <w:pStyle w:val="8"/>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98%</w:t>
            </w:r>
          </w:p>
        </w:tc>
        <w:tc>
          <w:tcPr>
            <w:tcW w:w="690" w:type="dxa"/>
            <w:vAlign w:val="center"/>
          </w:tcPr>
          <w:p w14:paraId="6E139D93">
            <w:pPr>
              <w:pStyle w:val="8"/>
              <w:jc w:val="center"/>
              <w:rPr>
                <w:rFonts w:hint="default" w:ascii="仿宋" w:hAnsi="仿宋" w:eastAsia="仿宋" w:cs="仿宋"/>
                <w:lang w:val="en-US" w:eastAsia="zh-CN"/>
              </w:rPr>
            </w:pPr>
            <w:r>
              <w:rPr>
                <w:rFonts w:hint="eastAsia" w:ascii="仿宋" w:hAnsi="仿宋" w:eastAsia="仿宋" w:cs="仿宋"/>
                <w:lang w:val="en-US" w:eastAsia="zh-CN"/>
              </w:rPr>
              <w:t>10</w:t>
            </w:r>
          </w:p>
        </w:tc>
        <w:tc>
          <w:tcPr>
            <w:tcW w:w="849" w:type="dxa"/>
            <w:vAlign w:val="center"/>
          </w:tcPr>
          <w:p w14:paraId="23366184">
            <w:pPr>
              <w:pStyle w:val="8"/>
              <w:jc w:val="center"/>
              <w:rPr>
                <w:rFonts w:hint="default" w:ascii="仿宋" w:hAnsi="仿宋" w:eastAsia="仿宋" w:cs="仿宋"/>
                <w:lang w:val="en-US" w:eastAsia="zh-CN"/>
              </w:rPr>
            </w:pPr>
            <w:r>
              <w:rPr>
                <w:rFonts w:hint="eastAsia" w:ascii="仿宋" w:hAnsi="仿宋" w:eastAsia="仿宋" w:cs="仿宋"/>
                <w:lang w:val="en-US" w:eastAsia="zh-CN"/>
              </w:rPr>
              <w:t>10</w:t>
            </w:r>
          </w:p>
        </w:tc>
        <w:tc>
          <w:tcPr>
            <w:tcW w:w="772" w:type="dxa"/>
            <w:vAlign w:val="center"/>
          </w:tcPr>
          <w:p w14:paraId="21ED39CE">
            <w:pPr>
              <w:pStyle w:val="8"/>
              <w:jc w:val="center"/>
              <w:rPr>
                <w:rFonts w:hint="eastAsia" w:ascii="仿宋" w:hAnsi="仿宋" w:eastAsia="仿宋" w:cs="仿宋"/>
              </w:rPr>
            </w:pPr>
          </w:p>
        </w:tc>
      </w:tr>
      <w:tr w14:paraId="42A1E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8039" w:type="dxa"/>
            <w:gridSpan w:val="6"/>
            <w:vAlign w:val="top"/>
          </w:tcPr>
          <w:p w14:paraId="7ED598AB">
            <w:pPr>
              <w:spacing w:before="70" w:line="220" w:lineRule="auto"/>
              <w:ind w:left="3124"/>
              <w:rPr>
                <w:rFonts w:hint="eastAsia" w:ascii="仿宋" w:hAnsi="仿宋" w:eastAsia="仿宋" w:cs="仿宋"/>
                <w:spacing w:val="4"/>
                <w:sz w:val="22"/>
                <w:szCs w:val="22"/>
              </w:rPr>
            </w:pPr>
          </w:p>
          <w:p w14:paraId="322BADD0">
            <w:pPr>
              <w:spacing w:before="70" w:line="220" w:lineRule="auto"/>
              <w:ind w:left="3124"/>
              <w:rPr>
                <w:rFonts w:hint="eastAsia" w:ascii="仿宋" w:hAnsi="仿宋" w:eastAsia="仿宋" w:cs="仿宋"/>
                <w:sz w:val="22"/>
                <w:szCs w:val="22"/>
              </w:rPr>
            </w:pPr>
            <w:r>
              <w:rPr>
                <w:rFonts w:hint="eastAsia" w:ascii="仿宋" w:hAnsi="仿宋" w:eastAsia="仿宋" w:cs="仿宋"/>
                <w:spacing w:val="4"/>
                <w:sz w:val="22"/>
                <w:szCs w:val="22"/>
              </w:rPr>
              <w:t>总分</w:t>
            </w:r>
          </w:p>
        </w:tc>
        <w:tc>
          <w:tcPr>
            <w:tcW w:w="690" w:type="dxa"/>
            <w:vAlign w:val="top"/>
          </w:tcPr>
          <w:p w14:paraId="4DDD8D15">
            <w:pPr>
              <w:spacing w:before="90" w:line="205" w:lineRule="auto"/>
              <w:ind w:left="250"/>
              <w:jc w:val="both"/>
              <w:rPr>
                <w:rFonts w:hint="eastAsia" w:ascii="仿宋" w:hAnsi="仿宋" w:eastAsia="仿宋" w:cs="仿宋"/>
                <w:b/>
                <w:bCs/>
                <w:spacing w:val="-8"/>
                <w:sz w:val="22"/>
                <w:szCs w:val="22"/>
                <w:lang w:val="en-US" w:eastAsia="zh-CN"/>
              </w:rPr>
            </w:pPr>
          </w:p>
          <w:p w14:paraId="4836E3F5">
            <w:pPr>
              <w:spacing w:before="90" w:line="205" w:lineRule="auto"/>
              <w:ind w:left="250"/>
              <w:jc w:val="both"/>
              <w:rPr>
                <w:rFonts w:hint="default" w:ascii="仿宋" w:hAnsi="仿宋" w:eastAsia="仿宋" w:cs="仿宋"/>
                <w:sz w:val="22"/>
                <w:szCs w:val="22"/>
                <w:lang w:val="en-US" w:eastAsia="zh-CN"/>
              </w:rPr>
            </w:pPr>
            <w:r>
              <w:rPr>
                <w:rFonts w:hint="eastAsia" w:ascii="仿宋" w:hAnsi="仿宋" w:eastAsia="仿宋" w:cs="仿宋"/>
                <w:b/>
                <w:bCs/>
                <w:spacing w:val="-8"/>
                <w:sz w:val="22"/>
                <w:szCs w:val="22"/>
                <w:lang w:val="en-US" w:eastAsia="zh-CN"/>
              </w:rPr>
              <w:t>100</w:t>
            </w:r>
          </w:p>
        </w:tc>
        <w:tc>
          <w:tcPr>
            <w:tcW w:w="849" w:type="dxa"/>
            <w:vAlign w:val="top"/>
          </w:tcPr>
          <w:p w14:paraId="4672F7AD">
            <w:pPr>
              <w:spacing w:before="90" w:line="205" w:lineRule="auto"/>
              <w:jc w:val="center"/>
              <w:rPr>
                <w:rFonts w:hint="eastAsia" w:ascii="仿宋" w:hAnsi="仿宋" w:eastAsia="仿宋" w:cs="仿宋"/>
                <w:b/>
                <w:bCs/>
                <w:spacing w:val="-8"/>
                <w:sz w:val="22"/>
                <w:szCs w:val="22"/>
                <w:lang w:val="en-US" w:eastAsia="zh-CN"/>
              </w:rPr>
            </w:pPr>
          </w:p>
          <w:p w14:paraId="73DEC515">
            <w:pPr>
              <w:spacing w:before="90" w:line="205" w:lineRule="auto"/>
              <w:jc w:val="center"/>
              <w:rPr>
                <w:rFonts w:hint="default" w:ascii="仿宋" w:hAnsi="仿宋" w:eastAsia="仿宋" w:cs="仿宋"/>
                <w:b/>
                <w:bCs/>
                <w:spacing w:val="-8"/>
                <w:sz w:val="22"/>
                <w:szCs w:val="22"/>
                <w:lang w:val="en-US" w:eastAsia="zh-CN"/>
              </w:rPr>
            </w:pPr>
            <w:r>
              <w:rPr>
                <w:rFonts w:hint="eastAsia" w:ascii="仿宋" w:hAnsi="仿宋" w:eastAsia="仿宋" w:cs="仿宋"/>
                <w:b/>
                <w:bCs/>
                <w:spacing w:val="-8"/>
                <w:sz w:val="22"/>
                <w:szCs w:val="22"/>
                <w:lang w:val="en-US" w:eastAsia="zh-CN"/>
              </w:rPr>
              <w:t>99.6</w:t>
            </w:r>
          </w:p>
        </w:tc>
        <w:tc>
          <w:tcPr>
            <w:tcW w:w="772" w:type="dxa"/>
            <w:vAlign w:val="top"/>
          </w:tcPr>
          <w:p w14:paraId="1C6BDE86">
            <w:pPr>
              <w:spacing w:before="90" w:line="205" w:lineRule="auto"/>
              <w:ind w:left="250"/>
              <w:jc w:val="both"/>
              <w:rPr>
                <w:rFonts w:hint="eastAsia" w:ascii="仿宋" w:hAnsi="仿宋" w:eastAsia="仿宋" w:cs="仿宋"/>
                <w:b/>
                <w:bCs/>
                <w:spacing w:val="-8"/>
                <w:sz w:val="22"/>
                <w:szCs w:val="22"/>
              </w:rPr>
            </w:pPr>
          </w:p>
        </w:tc>
      </w:tr>
    </w:tbl>
    <w:p w14:paraId="6458854A">
      <w:pPr>
        <w:rPr>
          <w:rFonts w:ascii="Arial"/>
          <w:sz w:val="21"/>
        </w:rPr>
      </w:pPr>
    </w:p>
    <w:sectPr>
      <w:footerReference r:id="rId5" w:type="default"/>
      <w:pgSz w:w="11900" w:h="16820"/>
      <w:pgMar w:top="2098" w:right="1474" w:bottom="1984" w:left="1587" w:header="0" w:footer="958" w:gutter="0"/>
      <w:paperSrc/>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A239F">
    <w:pPr>
      <w:spacing w:line="230" w:lineRule="auto"/>
      <w:ind w:left="8827"/>
      <w:rPr>
        <w:rFonts w:ascii="宋体" w:hAnsi="宋体" w:eastAsia="宋体" w:cs="宋体"/>
        <w:sz w:val="21"/>
        <w:szCs w:val="21"/>
      </w:rPr>
    </w:pPr>
    <w:r>
      <w:rPr>
        <w:rFonts w:ascii="宋体" w:hAnsi="宋体" w:eastAsia="宋体" w:cs="宋体"/>
        <w:b/>
        <w:bCs/>
        <w:spacing w:val="-5"/>
        <w:sz w:val="21"/>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9026E53"/>
    <w:rsid w:val="0D947993"/>
    <w:rsid w:val="1621552C"/>
    <w:rsid w:val="1637255E"/>
    <w:rsid w:val="247B7416"/>
    <w:rsid w:val="32591540"/>
    <w:rsid w:val="39F8309C"/>
    <w:rsid w:val="47094169"/>
    <w:rsid w:val="49ED0CDB"/>
    <w:rsid w:val="53890B0C"/>
    <w:rsid w:val="62E21FE6"/>
    <w:rsid w:val="647D2FA2"/>
    <w:rsid w:val="70D50A94"/>
    <w:rsid w:val="78DA2A3F"/>
    <w:rsid w:val="7C3B79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723</Words>
  <Characters>877</Characters>
  <TotalTime>20</TotalTime>
  <ScaleCrop>false</ScaleCrop>
  <LinksUpToDate>false</LinksUpToDate>
  <CharactersWithSpaces>880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2025-03-31T11:21:00Z</dcterms:created>
  <dc:creator>Administrator</dc:creator>
  <cp:lastModifiedBy>三叶草</cp:lastModifiedBy>
  <cp:lastPrinted>2025-06-16T07:41:12Z</cp:lastPrinted>
  <dcterms:modified xsi:type="dcterms:W3CDTF">2025-06-16T07:55:19Z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2025-03-31T11:21:24Z</vt:filetime>
  </property>
  <property fmtid="{D5CDD505-2E9C-101B-9397-08002B2CF9AE}" pid="4" name="UsrData">
    <vt:lpwstr>67ea0a32daef570020c6337ewl</vt:lpwstr>
  </property>
  <property fmtid="{D5CDD505-2E9C-101B-9397-08002B2CF9AE}" pid="5" name="KSOTemplateDocerSaveRecord">
    <vt:lpwstr>eyJoZGlkIjoiOTJlMzRhYWVhNjZiZjAwNjM0MWEyZDEwZWVkODYyYWQiLCJ1c2VySWQiOiI3NDQxNDU5MzkifQ==</vt:lpwstr>
  </property>
  <property fmtid="{D5CDD505-2E9C-101B-9397-08002B2CF9AE}" pid="6" name="KSOProductBuildVer">
    <vt:lpwstr>2052-12.1.0.21171</vt:lpwstr>
  </property>
  <property fmtid="{D5CDD505-2E9C-101B-9397-08002B2CF9AE}" pid="7" name="ICV">
    <vt:lpwstr>5AE135F62E6D4324BFDBF6551393DD0D_13</vt:lpwstr>
  </property>
</Properties>
</file>