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方正小标宋_GBK"/>
          <w:sz w:val="52"/>
          <w:szCs w:val="52"/>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2024年度岳阳市公安局交通警察支队</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整体支出绩效自评报告</w:t>
      </w:r>
    </w:p>
    <w:p>
      <w:pPr>
        <w:jc w:val="center"/>
        <w:rPr>
          <w:rFonts w:eastAsia="方正小标宋_GBK"/>
          <w:b/>
          <w:sz w:val="52"/>
          <w:szCs w:val="52"/>
        </w:rPr>
      </w:pPr>
    </w:p>
    <w:p>
      <w:pPr>
        <w:jc w:val="center"/>
        <w:rPr>
          <w:rFonts w:eastAsia="楷体_GB2312"/>
          <w:b/>
          <w:sz w:val="32"/>
          <w:szCs w:val="32"/>
        </w:rPr>
      </w:pPr>
    </w:p>
    <w:p>
      <w:pPr>
        <w:jc w:val="center"/>
        <w:rPr>
          <w:rFonts w:eastAsia="楷体_GB2312"/>
          <w:b/>
          <w:sz w:val="32"/>
          <w:szCs w:val="32"/>
        </w:rPr>
      </w:pPr>
    </w:p>
    <w:p>
      <w:pPr>
        <w:jc w:val="center"/>
        <w:rPr>
          <w:rFonts w:eastAsia="楷体_GB2312"/>
          <w:b/>
          <w:sz w:val="32"/>
          <w:szCs w:val="32"/>
        </w:rPr>
      </w:pPr>
    </w:p>
    <w:p>
      <w:pPr>
        <w:jc w:val="center"/>
        <w:rPr>
          <w:rFonts w:eastAsia="楷体_GB2312"/>
          <w:b/>
          <w:sz w:val="32"/>
          <w:szCs w:val="32"/>
        </w:rPr>
      </w:pPr>
    </w:p>
    <w:p>
      <w:pPr>
        <w:jc w:val="center"/>
        <w:rPr>
          <w:rFonts w:eastAsia="楷体_GB2312"/>
          <w:b/>
          <w:sz w:val="32"/>
          <w:szCs w:val="32"/>
        </w:rPr>
      </w:pPr>
    </w:p>
    <w:p>
      <w:pPr>
        <w:jc w:val="center"/>
        <w:rPr>
          <w:rFonts w:eastAsia="楷体_GB2312"/>
          <w:b/>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spacing w:line="600" w:lineRule="exact"/>
        <w:jc w:val="center"/>
        <w:rPr>
          <w:rFonts w:eastAsia="仿宋_GB2312"/>
          <w:sz w:val="32"/>
          <w:szCs w:val="32"/>
          <w:u w:val="single"/>
        </w:rPr>
      </w:pPr>
      <w:r>
        <w:rPr>
          <w:rFonts w:eastAsia="仿宋_GB2312"/>
          <w:sz w:val="32"/>
          <w:szCs w:val="32"/>
        </w:rPr>
        <w:t>部门（单位）名称：</w:t>
      </w:r>
      <w:r>
        <w:rPr>
          <w:rFonts w:eastAsia="仿宋_GB2312"/>
          <w:sz w:val="32"/>
          <w:szCs w:val="32"/>
          <w:u w:val="single"/>
        </w:rPr>
        <w:t>（盖章）</w:t>
      </w:r>
    </w:p>
    <w:p>
      <w:pPr>
        <w:spacing w:line="600" w:lineRule="exact"/>
        <w:jc w:val="center"/>
        <w:rPr>
          <w:rFonts w:eastAsia="楷体_GB2312"/>
          <w:sz w:val="32"/>
          <w:szCs w:val="32"/>
        </w:rPr>
      </w:pPr>
      <w:r>
        <w:rPr>
          <w:rFonts w:hint="eastAsia" w:eastAsia="楷体_GB2312"/>
          <w:sz w:val="32"/>
          <w:szCs w:val="32"/>
          <w:lang w:val="en-US" w:eastAsia="zh-CN"/>
        </w:rPr>
        <w:t>2024</w:t>
      </w:r>
      <w:r>
        <w:rPr>
          <w:rFonts w:eastAsia="楷体_GB2312"/>
          <w:sz w:val="32"/>
          <w:szCs w:val="32"/>
        </w:rPr>
        <w:t xml:space="preserve">年 </w:t>
      </w:r>
      <w:r>
        <w:rPr>
          <w:rFonts w:hint="eastAsia" w:eastAsia="楷体_GB2312"/>
          <w:sz w:val="32"/>
          <w:szCs w:val="32"/>
          <w:lang w:val="en-US" w:eastAsia="zh-CN"/>
        </w:rPr>
        <w:t>6</w:t>
      </w:r>
      <w:r>
        <w:rPr>
          <w:rFonts w:eastAsia="楷体_GB2312"/>
          <w:sz w:val="32"/>
          <w:szCs w:val="32"/>
        </w:rPr>
        <w:t xml:space="preserve"> 月 </w:t>
      </w:r>
      <w:r>
        <w:rPr>
          <w:rFonts w:hint="eastAsia" w:eastAsia="楷体_GB2312"/>
          <w:sz w:val="32"/>
          <w:szCs w:val="32"/>
          <w:lang w:val="en-US" w:eastAsia="zh-CN"/>
        </w:rPr>
        <w:t>24</w:t>
      </w:r>
      <w:bookmarkStart w:id="13" w:name="_GoBack"/>
      <w:bookmarkEnd w:id="13"/>
      <w:r>
        <w:rPr>
          <w:rFonts w:eastAsia="楷体_GB2312"/>
          <w:sz w:val="32"/>
          <w:szCs w:val="32"/>
        </w:rPr>
        <w:t xml:space="preserve"> 日</w:t>
      </w:r>
    </w:p>
    <w:p>
      <w:pPr>
        <w:jc w:val="center"/>
        <w:rPr>
          <w:rFonts w:eastAsia="仿宋_GB2312"/>
          <w:sz w:val="32"/>
          <w:szCs w:val="32"/>
        </w:rPr>
      </w:pPr>
      <w:r>
        <w:rPr>
          <w:rFonts w:eastAsia="仿宋_GB2312"/>
          <w:sz w:val="32"/>
          <w:szCs w:val="32"/>
        </w:rPr>
        <w:t>（此页为封面）</w:t>
      </w:r>
    </w:p>
    <w:p>
      <w:pPr>
        <w:ind w:firstLine="880" w:firstLineChars="200"/>
        <w:rPr>
          <w:rFonts w:ascii="方正小标宋简体" w:hAnsi="方正小标宋简体" w:eastAsia="方正小标宋简体" w:cs="方正小标宋简体"/>
          <w:sz w:val="44"/>
          <w:szCs w:val="44"/>
        </w:rPr>
      </w:pPr>
    </w:p>
    <w:p>
      <w:pPr>
        <w:ind w:firstLine="880" w:firstLineChars="200"/>
        <w:rPr>
          <w:rFonts w:hint="eastAsia" w:ascii="方正小标宋简体" w:hAnsi="方正小标宋简体" w:eastAsia="方正小标宋简体" w:cs="方正小标宋简体"/>
          <w:sz w:val="44"/>
          <w:szCs w:val="44"/>
        </w:rPr>
      </w:pPr>
    </w:p>
    <w:p>
      <w:pPr>
        <w:ind w:firstLine="880" w:firstLineChars="20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2024年度岳阳市公安局交通警察支队</w:t>
      </w:r>
    </w:p>
    <w:p>
      <w:pPr>
        <w:ind w:firstLine="2200" w:firstLineChars="50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整体支出绩效自评报告</w:t>
      </w:r>
    </w:p>
    <w:p>
      <w:pPr>
        <w:spacing w:line="640" w:lineRule="exact"/>
        <w:ind w:firstLine="640" w:firstLineChars="200"/>
        <w:rPr>
          <w:rFonts w:eastAsia="仿宋_GB2312"/>
          <w:sz w:val="32"/>
          <w:szCs w:val="32"/>
        </w:rPr>
      </w:pPr>
    </w:p>
    <w:p>
      <w:pPr>
        <w:numPr>
          <w:ilvl w:val="0"/>
          <w:numId w:val="1"/>
        </w:numPr>
        <w:spacing w:line="640" w:lineRule="exact"/>
        <w:ind w:firstLine="640" w:firstLineChars="200"/>
        <w:rPr>
          <w:rFonts w:eastAsia="黑体"/>
          <w:sz w:val="32"/>
          <w:szCs w:val="32"/>
        </w:rPr>
      </w:pPr>
      <w:r>
        <w:rPr>
          <w:rFonts w:eastAsia="黑体"/>
          <w:sz w:val="32"/>
          <w:szCs w:val="32"/>
        </w:rPr>
        <w:t>部门（单位）基本情况</w:t>
      </w:r>
    </w:p>
    <w:p>
      <w:pPr>
        <w:widowControl/>
        <w:numPr>
          <w:ilvl w:val="0"/>
          <w:numId w:val="0"/>
        </w:num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lang w:val="en-US" w:eastAsia="zh-CN"/>
        </w:rPr>
        <w:t>岳阳市公安局交通警察支队为岳阳市公安局直属独立核算副处级二级机构，内设11个科所室、5个业务指导大队、9个勤务大队。</w:t>
      </w:r>
      <w:r>
        <w:rPr>
          <w:rFonts w:hint="eastAsia" w:ascii="仿宋" w:hAnsi="仿宋" w:eastAsia="仿宋" w:cs="仿宋"/>
          <w:sz w:val="28"/>
          <w:szCs w:val="28"/>
        </w:rPr>
        <w:t>现实有民警401人，辅警524人。主要负责全市道路交通安全管理、道路交通事故预防工作；负责全市道路交通秩序管理、交通警保卫工作；负责全市机动车辆注册登记、年度检查、转移登记、报废注销等业务管理工作；负责全市机动车驾驶人准入管理工作；负责全市交通科技建设管理工作；负责全市道路交通安全宣传工作等。</w:t>
      </w:r>
    </w:p>
    <w:p>
      <w:pPr>
        <w:pStyle w:val="9"/>
        <w:widowControl/>
        <w:spacing w:line="640" w:lineRule="exact"/>
        <w:ind w:firstLine="640"/>
        <w:rPr>
          <w:rFonts w:ascii="Times New Roman" w:hAnsi="Times New Roman" w:eastAsia="黑体"/>
          <w:sz w:val="32"/>
          <w:szCs w:val="32"/>
        </w:rPr>
      </w:pPr>
      <w:r>
        <w:rPr>
          <w:rFonts w:ascii="Times New Roman" w:hAnsi="Times New Roman" w:eastAsia="黑体"/>
          <w:sz w:val="32"/>
          <w:szCs w:val="32"/>
        </w:rPr>
        <w:t>二、一般公共预算支出情况</w:t>
      </w:r>
    </w:p>
    <w:p>
      <w:pPr>
        <w:pStyle w:val="9"/>
        <w:widowControl/>
        <w:spacing w:line="640" w:lineRule="exact"/>
        <w:ind w:firstLine="560"/>
        <w:rPr>
          <w:rFonts w:ascii="仿宋" w:hAnsi="仿宋" w:eastAsia="仿宋" w:cs="仿宋"/>
          <w:sz w:val="28"/>
          <w:szCs w:val="28"/>
        </w:rPr>
      </w:pPr>
      <w:r>
        <w:rPr>
          <w:rFonts w:hint="eastAsia" w:ascii="仿宋" w:hAnsi="仿宋" w:eastAsia="仿宋" w:cs="仿宋"/>
          <w:sz w:val="28"/>
          <w:szCs w:val="28"/>
        </w:rPr>
        <w:t>2024年度收入合计为23982.7万元，其中：财政拨款收入23768.24万元，其他收入214.47万元。</w:t>
      </w:r>
    </w:p>
    <w:p>
      <w:pPr>
        <w:pStyle w:val="9"/>
        <w:widowControl/>
        <w:spacing w:line="640" w:lineRule="exact"/>
        <w:ind w:firstLine="560"/>
        <w:rPr>
          <w:rFonts w:ascii="仿宋" w:hAnsi="仿宋" w:eastAsia="仿宋" w:cs="仿宋"/>
          <w:sz w:val="28"/>
          <w:szCs w:val="28"/>
        </w:rPr>
      </w:pPr>
      <w:r>
        <w:rPr>
          <w:rFonts w:hint="eastAsia" w:ascii="仿宋" w:hAnsi="仿宋" w:eastAsia="仿宋" w:cs="仿宋"/>
          <w:sz w:val="28"/>
          <w:szCs w:val="28"/>
        </w:rPr>
        <w:t>2024年度支出合计为23982.7万元，其中财政拨款支出23768.24万元（基本支出12386.11万元，项目支出11382.13万元）。</w:t>
      </w:r>
    </w:p>
    <w:p>
      <w:pPr>
        <w:pStyle w:val="9"/>
        <w:widowControl/>
        <w:spacing w:line="640" w:lineRule="exact"/>
        <w:ind w:firstLine="560"/>
        <w:rPr>
          <w:rFonts w:ascii="仿宋" w:hAnsi="仿宋" w:eastAsia="仿宋" w:cs="仿宋"/>
          <w:sz w:val="28"/>
          <w:szCs w:val="28"/>
        </w:rPr>
      </w:pPr>
      <w:r>
        <w:rPr>
          <w:rFonts w:ascii="仿宋" w:hAnsi="仿宋" w:eastAsia="仿宋" w:cs="仿宋"/>
          <w:sz w:val="28"/>
          <w:szCs w:val="28"/>
        </w:rPr>
        <w:t>（一）基本支出情况</w:t>
      </w:r>
      <w:r>
        <w:rPr>
          <w:rFonts w:hint="eastAsia" w:ascii="仿宋" w:hAnsi="仿宋" w:eastAsia="仿宋" w:cs="仿宋"/>
          <w:sz w:val="28"/>
          <w:szCs w:val="28"/>
        </w:rPr>
        <w:t>：一般公共预算财政拨款基本支出12386.11万元，其中人员经费支出8056.19万元，占基本支出65%，主要包括基本工资、津贴补贴、奖金、伙食补助、机关事业单位养老保险缴费、职工基本医疗缴费、其他社会保障缴费、住房公积金等。</w:t>
      </w:r>
    </w:p>
    <w:p>
      <w:pPr>
        <w:pStyle w:val="9"/>
        <w:widowControl/>
        <w:spacing w:line="640" w:lineRule="exact"/>
        <w:ind w:firstLine="560"/>
        <w:rPr>
          <w:rFonts w:ascii="仿宋" w:hAnsi="仿宋" w:eastAsia="仿宋" w:cs="仿宋"/>
          <w:sz w:val="28"/>
          <w:szCs w:val="28"/>
        </w:rPr>
      </w:pPr>
      <w:r>
        <w:rPr>
          <w:rFonts w:hint="eastAsia" w:ascii="仿宋" w:hAnsi="仿宋" w:eastAsia="仿宋" w:cs="仿宋"/>
          <w:sz w:val="28"/>
          <w:szCs w:val="28"/>
        </w:rPr>
        <w:t>公用经费4329.92万元，占基本支出34.95%，主要包括办公费、印刷费、水电费、差旅费、维修费、劳务费、委托业务费、工会经费、公务用车运维费等。</w:t>
      </w:r>
    </w:p>
    <w:p>
      <w:pPr>
        <w:pStyle w:val="9"/>
        <w:widowControl/>
        <w:spacing w:line="640" w:lineRule="exact"/>
        <w:ind w:firstLine="560"/>
        <w:rPr>
          <w:rFonts w:ascii="仿宋" w:hAnsi="仿宋" w:eastAsia="仿宋" w:cs="仿宋"/>
          <w:sz w:val="28"/>
          <w:szCs w:val="28"/>
        </w:rPr>
      </w:pPr>
      <w:r>
        <w:rPr>
          <w:rFonts w:ascii="仿宋" w:hAnsi="仿宋" w:eastAsia="仿宋" w:cs="仿宋"/>
          <w:sz w:val="28"/>
          <w:szCs w:val="28"/>
        </w:rPr>
        <w:t>（二）项目支出情况</w:t>
      </w:r>
      <w:r>
        <w:rPr>
          <w:rFonts w:hint="eastAsia" w:ascii="仿宋" w:hAnsi="仿宋" w:eastAsia="仿宋" w:cs="仿宋"/>
          <w:sz w:val="28"/>
          <w:szCs w:val="28"/>
        </w:rPr>
        <w:t>：项目支出为11382.13万元。</w:t>
      </w:r>
    </w:p>
    <w:p>
      <w:pPr>
        <w:pStyle w:val="9"/>
        <w:widowControl/>
        <w:spacing w:line="640" w:lineRule="exact"/>
        <w:ind w:firstLine="640"/>
        <w:rPr>
          <w:rFonts w:ascii="Times New Roman" w:hAnsi="Times New Roman" w:eastAsia="黑体"/>
          <w:sz w:val="32"/>
          <w:szCs w:val="32"/>
        </w:rPr>
      </w:pPr>
      <w:r>
        <w:rPr>
          <w:rFonts w:ascii="Times New Roman" w:hAnsi="Times New Roman" w:eastAsia="黑体"/>
          <w:sz w:val="32"/>
          <w:szCs w:val="32"/>
        </w:rPr>
        <w:t>三、政府性基金预算支出情况</w:t>
      </w:r>
    </w:p>
    <w:p>
      <w:pPr>
        <w:pStyle w:val="9"/>
        <w:widowControl/>
        <w:spacing w:line="640" w:lineRule="exact"/>
        <w:ind w:firstLine="640"/>
        <w:rPr>
          <w:rFonts w:ascii="Times New Roman" w:hAnsi="Times New Roman" w:eastAsia="黑体"/>
          <w:sz w:val="32"/>
          <w:szCs w:val="32"/>
        </w:rPr>
      </w:pPr>
      <w:r>
        <w:rPr>
          <w:rFonts w:ascii="Times New Roman" w:hAnsi="Times New Roman" w:eastAsia="黑体"/>
          <w:sz w:val="32"/>
          <w:szCs w:val="32"/>
        </w:rPr>
        <w:t>四、国有资本经营预算支出情况</w:t>
      </w:r>
    </w:p>
    <w:p>
      <w:pPr>
        <w:pStyle w:val="9"/>
        <w:widowControl/>
        <w:spacing w:line="640" w:lineRule="exact"/>
        <w:ind w:firstLine="640"/>
        <w:rPr>
          <w:rFonts w:ascii="Times New Roman" w:hAnsi="Times New Roman" w:eastAsia="黑体"/>
          <w:sz w:val="32"/>
          <w:szCs w:val="32"/>
        </w:rPr>
      </w:pPr>
      <w:r>
        <w:rPr>
          <w:rFonts w:ascii="Times New Roman" w:hAnsi="Times New Roman" w:eastAsia="黑体"/>
          <w:sz w:val="32"/>
          <w:szCs w:val="32"/>
        </w:rPr>
        <w:t>五、社会保险基金预算支出情况</w:t>
      </w:r>
    </w:p>
    <w:p>
      <w:pPr>
        <w:pStyle w:val="9"/>
        <w:widowControl/>
        <w:numPr>
          <w:ilvl w:val="0"/>
          <w:numId w:val="2"/>
        </w:numPr>
        <w:spacing w:line="640" w:lineRule="exact"/>
        <w:ind w:firstLineChars="0"/>
        <w:rPr>
          <w:rFonts w:eastAsia="黑体"/>
          <w:sz w:val="32"/>
          <w:szCs w:val="32"/>
        </w:rPr>
      </w:pPr>
      <w:r>
        <w:rPr>
          <w:rFonts w:eastAsia="黑体"/>
          <w:sz w:val="32"/>
          <w:szCs w:val="32"/>
        </w:rPr>
        <w:t>部门整体支出绩效情况</w:t>
      </w:r>
    </w:p>
    <w:p>
      <w:pPr>
        <w:widowControl/>
        <w:spacing w:line="64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一</w:t>
      </w:r>
      <w:r>
        <w:rPr>
          <w:rFonts w:ascii="仿宋" w:hAnsi="仿宋" w:eastAsia="仿宋" w:cs="仿宋"/>
          <w:sz w:val="28"/>
          <w:szCs w:val="28"/>
        </w:rPr>
        <w:t>、</w:t>
      </w:r>
      <w:r>
        <w:rPr>
          <w:rFonts w:hint="eastAsia" w:ascii="仿宋" w:hAnsi="仿宋" w:eastAsia="仿宋" w:cs="仿宋"/>
          <w:sz w:val="28"/>
          <w:szCs w:val="28"/>
        </w:rPr>
        <w:t>预算管理：完善制度规范管理，科学编制预算，项目规划突重点，厉行节约，严控“三公经费”支出。</w:t>
      </w:r>
    </w:p>
    <w:p>
      <w:pPr>
        <w:widowControl/>
        <w:spacing w:line="640" w:lineRule="exact"/>
        <w:ind w:firstLine="560" w:firstLineChars="200"/>
        <w:rPr>
          <w:rFonts w:ascii="仿宋" w:hAnsi="仿宋" w:eastAsia="仿宋" w:cs="仿宋"/>
          <w:sz w:val="28"/>
          <w:szCs w:val="28"/>
        </w:rPr>
      </w:pPr>
      <w:r>
        <w:rPr>
          <w:rFonts w:hint="eastAsia" w:ascii="仿宋" w:hAnsi="仿宋" w:eastAsia="仿宋" w:cs="仿宋"/>
          <w:sz w:val="28"/>
          <w:szCs w:val="28"/>
        </w:rPr>
        <w:t>二</w:t>
      </w:r>
      <w:r>
        <w:rPr>
          <w:rFonts w:ascii="仿宋" w:hAnsi="仿宋" w:eastAsia="仿宋" w:cs="仿宋"/>
          <w:sz w:val="28"/>
          <w:szCs w:val="28"/>
        </w:rPr>
        <w:t>、</w:t>
      </w:r>
      <w:r>
        <w:rPr>
          <w:rFonts w:hint="eastAsia" w:ascii="仿宋" w:hAnsi="仿宋" w:eastAsia="仿宋" w:cs="仿宋"/>
          <w:sz w:val="28"/>
          <w:szCs w:val="28"/>
        </w:rPr>
        <w:t>资产管理：加强资产管理制度建设，制定了资产管理的具体流程和标准，定期进行资产清查与盘点，确保资产的完整性和准确性。</w:t>
      </w:r>
    </w:p>
    <w:p>
      <w:pPr>
        <w:widowControl/>
        <w:spacing w:line="640" w:lineRule="exact"/>
        <w:ind w:firstLine="560" w:firstLineChars="200"/>
        <w:rPr>
          <w:rFonts w:ascii="仿宋" w:hAnsi="仿宋" w:eastAsia="仿宋" w:cs="仿宋"/>
          <w:sz w:val="28"/>
          <w:szCs w:val="28"/>
        </w:rPr>
      </w:pPr>
      <w:r>
        <w:rPr>
          <w:rFonts w:hint="eastAsia" w:ascii="仿宋" w:hAnsi="仿宋" w:eastAsia="仿宋" w:cs="仿宋"/>
          <w:sz w:val="28"/>
          <w:szCs w:val="28"/>
        </w:rPr>
        <w:t>三</w:t>
      </w:r>
      <w:r>
        <w:rPr>
          <w:rFonts w:ascii="仿宋" w:hAnsi="仿宋" w:eastAsia="仿宋" w:cs="仿宋"/>
          <w:sz w:val="28"/>
          <w:szCs w:val="28"/>
        </w:rPr>
        <w:t>、</w:t>
      </w:r>
      <w:r>
        <w:rPr>
          <w:rFonts w:hint="eastAsia" w:ascii="仿宋" w:hAnsi="仿宋" w:eastAsia="仿宋" w:cs="仿宋"/>
          <w:sz w:val="28"/>
          <w:szCs w:val="28"/>
        </w:rPr>
        <w:t>开展业务情况：</w:t>
      </w:r>
    </w:p>
    <w:p>
      <w:pPr>
        <w:ind w:firstLine="560" w:firstLineChars="200"/>
        <w:rPr>
          <w:rFonts w:ascii="仿宋" w:hAnsi="仿宋" w:eastAsia="仿宋" w:cs="仿宋"/>
          <w:sz w:val="28"/>
          <w:szCs w:val="28"/>
        </w:rPr>
      </w:pPr>
      <w:r>
        <w:rPr>
          <w:rFonts w:hint="eastAsia" w:ascii="仿宋" w:hAnsi="仿宋" w:eastAsia="仿宋" w:cs="仿宋"/>
          <w:sz w:val="28"/>
          <w:szCs w:val="28"/>
        </w:rPr>
        <w:t>（一）整治交通违法乱象有声势、有力度、有成效。一是高压严查重点违法。梯次推进“春季行动”“夏季行动”“安全守底” 等专项整治行动20批次。二是高质规范通行秩序。结合文明城市创建工作，持续开展机动车违停、货车闯禁及摩托车、电动车、行人违法等专项行动。三是高标优化交通设施。组织对新路口、奇康路口等11个路口、青年中路、南湖游路等6个路段交通设施进行优化调整，对159个路口信号灯配时适时优化调整3376次，路口、路段通行效率明显提升。先后设置临时停车泊位2100余个，调整护栏掉头口26处，新增中心隔离护栏及道路交通标志，施划交通标线，确保交通标志标线警示规范作用有效发挥。</w:t>
      </w:r>
    </w:p>
    <w:p>
      <w:pPr>
        <w:ind w:firstLine="560" w:firstLineChars="200"/>
        <w:rPr>
          <w:rFonts w:ascii="仿宋" w:hAnsi="仿宋" w:eastAsia="仿宋" w:cs="仿宋"/>
          <w:sz w:val="28"/>
          <w:szCs w:val="28"/>
        </w:rPr>
      </w:pPr>
      <w:r>
        <w:rPr>
          <w:rFonts w:hint="eastAsia" w:ascii="仿宋" w:hAnsi="仿宋" w:eastAsia="仿宋" w:cs="仿宋"/>
          <w:sz w:val="28"/>
          <w:szCs w:val="28"/>
        </w:rPr>
        <w:t>（二）风险隐患排查治理全方位、全领域、全覆盖。一是盯住重点人。二是严管重点车。三是整改重点路。四是联查重点企业。</w:t>
      </w:r>
    </w:p>
    <w:p>
      <w:pPr>
        <w:ind w:firstLine="560" w:firstLineChars="200"/>
        <w:rPr>
          <w:rFonts w:ascii="仿宋" w:hAnsi="仿宋" w:eastAsia="仿宋" w:cs="仿宋"/>
          <w:sz w:val="28"/>
          <w:szCs w:val="28"/>
        </w:rPr>
      </w:pPr>
      <w:r>
        <w:rPr>
          <w:rFonts w:hint="eastAsia" w:ascii="仿宋" w:hAnsi="仿宋" w:eastAsia="仿宋" w:cs="仿宋"/>
          <w:sz w:val="28"/>
          <w:szCs w:val="28"/>
        </w:rPr>
        <w:t>（三）</w:t>
      </w:r>
      <w:bookmarkStart w:id="0" w:name="OLE_LINK6"/>
      <w:r>
        <w:rPr>
          <w:rFonts w:hint="eastAsia" w:ascii="仿宋" w:hAnsi="仿宋" w:eastAsia="仿宋" w:cs="仿宋"/>
          <w:sz w:val="28"/>
          <w:szCs w:val="28"/>
        </w:rPr>
        <w:t>围绕中心服务大局不动摇、不</w:t>
      </w:r>
      <w:r>
        <w:rPr>
          <w:rFonts w:hint="eastAsia" w:ascii="仿宋" w:hAnsi="仿宋" w:eastAsia="仿宋" w:cs="仿宋"/>
          <w:sz w:val="28"/>
          <w:szCs w:val="28"/>
          <w:lang w:val="en-US" w:eastAsia="zh-CN"/>
        </w:rPr>
        <w:t>含</w:t>
      </w:r>
      <w:r>
        <w:rPr>
          <w:rFonts w:hint="eastAsia" w:ascii="仿宋" w:hAnsi="仿宋" w:eastAsia="仿宋" w:cs="仿宋"/>
          <w:sz w:val="28"/>
          <w:szCs w:val="28"/>
        </w:rPr>
        <w:t>糊、不懈怠</w:t>
      </w:r>
      <w:bookmarkEnd w:id="0"/>
      <w:r>
        <w:rPr>
          <w:rFonts w:hint="eastAsia" w:ascii="仿宋" w:hAnsi="仿宋" w:eastAsia="仿宋" w:cs="仿宋"/>
          <w:sz w:val="28"/>
          <w:szCs w:val="28"/>
        </w:rPr>
        <w:t>。一是圆满完成</w:t>
      </w:r>
      <w:bookmarkStart w:id="1" w:name="OLE_LINK27"/>
      <w:r>
        <w:rPr>
          <w:rFonts w:hint="eastAsia" w:ascii="仿宋" w:hAnsi="仿宋" w:eastAsia="仿宋" w:cs="仿宋"/>
          <w:sz w:val="28"/>
          <w:szCs w:val="28"/>
        </w:rPr>
        <w:t>重大交通安保</w:t>
      </w:r>
      <w:bookmarkEnd w:id="1"/>
      <w:r>
        <w:rPr>
          <w:rFonts w:hint="eastAsia" w:ascii="仿宋" w:hAnsi="仿宋" w:eastAsia="仿宋" w:cs="仿宋"/>
          <w:sz w:val="28"/>
          <w:szCs w:val="28"/>
        </w:rPr>
        <w:t>。</w:t>
      </w:r>
      <w:bookmarkStart w:id="2" w:name="OLE_LINK28"/>
      <w:r>
        <w:rPr>
          <w:rFonts w:hint="eastAsia" w:ascii="仿宋" w:hAnsi="仿宋" w:eastAsia="仿宋" w:cs="仿宋"/>
          <w:sz w:val="28"/>
          <w:szCs w:val="28"/>
        </w:rPr>
        <w:t>圆满完成</w:t>
      </w:r>
      <w:bookmarkEnd w:id="2"/>
      <w:r>
        <w:rPr>
          <w:rFonts w:hint="eastAsia" w:ascii="仿宋" w:hAnsi="仿宋" w:eastAsia="仿宋" w:cs="仿宋"/>
          <w:sz w:val="28"/>
          <w:szCs w:val="28"/>
        </w:rPr>
        <w:t xml:space="preserve"> 2024年“洞庭渔火季”、2024年CBA季前赛、2024年马拉松、中华人民共和国第一届青少年三大球运动会、“农商银行之夜”巨星演唱会等大型活动期间道路交通安保工作。圆满完成市委、市政府和市公安局党委交办的各类警保卫任务。二是全力应对应急突发任务。今年7月华容团洲垸决口，支队全体参战民辅警连日坚守交通安保一线，累计增援警力2100余人次，在核心区城周边21个交通管控点、16条主要通道现场引导运输车辆6200余台，分流过境车辆2.86万余台，有力确保抢险救灾“生命通道”畅通有序。三是高效处理交通警情。全年的交通事故接处警警评工作、12345 热线与市长信箱涉交类的处理均在全省公安交警系统、市直单位前列，其中交通事故接处警警评工作排名全省第二。四是持续强化执法能力水平。协助各巡视组、纪委、检察院协查相关人员车辆、酒醉驾及立案、拘留、取保、逮捕、起诉情况。</w:t>
      </w:r>
    </w:p>
    <w:p>
      <w:pPr>
        <w:ind w:firstLine="560" w:firstLineChars="200"/>
        <w:rPr>
          <w:rFonts w:ascii="仿宋" w:hAnsi="仿宋" w:eastAsia="仿宋" w:cs="仿宋"/>
          <w:sz w:val="28"/>
          <w:szCs w:val="28"/>
        </w:rPr>
      </w:pPr>
      <w:r>
        <w:rPr>
          <w:rFonts w:hint="eastAsia" w:ascii="仿宋" w:hAnsi="仿宋" w:eastAsia="仿宋" w:cs="仿宋"/>
          <w:sz w:val="28"/>
          <w:szCs w:val="28"/>
        </w:rPr>
        <w:t>（四）</w:t>
      </w:r>
      <w:bookmarkStart w:id="3" w:name="OLE_LINK22"/>
      <w:bookmarkStart w:id="4" w:name="OLE_LINK7"/>
      <w:r>
        <w:rPr>
          <w:rFonts w:hint="eastAsia" w:ascii="仿宋" w:hAnsi="仿宋" w:eastAsia="仿宋" w:cs="仿宋"/>
          <w:sz w:val="28"/>
          <w:szCs w:val="28"/>
        </w:rPr>
        <w:t>公安交管法制建设</w:t>
      </w:r>
      <w:bookmarkEnd w:id="3"/>
      <w:r>
        <w:rPr>
          <w:rFonts w:hint="eastAsia" w:ascii="仿宋" w:hAnsi="仿宋" w:eastAsia="仿宋" w:cs="仿宋"/>
          <w:sz w:val="28"/>
          <w:szCs w:val="28"/>
        </w:rPr>
        <w:t>更规范、更严格、更长效</w:t>
      </w:r>
      <w:bookmarkEnd w:id="4"/>
      <w:r>
        <w:rPr>
          <w:rFonts w:hint="eastAsia" w:ascii="仿宋" w:hAnsi="仿宋" w:eastAsia="仿宋" w:cs="仿宋"/>
          <w:sz w:val="28"/>
          <w:szCs w:val="28"/>
        </w:rPr>
        <w:t>。一是</w:t>
      </w:r>
      <w:bookmarkStart w:id="5" w:name="OLE_LINK23"/>
      <w:r>
        <w:rPr>
          <w:rFonts w:hint="eastAsia" w:ascii="仿宋" w:hAnsi="仿宋" w:eastAsia="仿宋" w:cs="仿宋"/>
          <w:sz w:val="28"/>
          <w:szCs w:val="28"/>
        </w:rPr>
        <w:t>执法突出问题全整改</w:t>
      </w:r>
      <w:bookmarkEnd w:id="5"/>
      <w:r>
        <w:rPr>
          <w:rFonts w:hint="eastAsia" w:ascii="仿宋" w:hAnsi="仿宋" w:eastAsia="仿宋" w:cs="仿宋"/>
          <w:sz w:val="28"/>
          <w:szCs w:val="28"/>
        </w:rPr>
        <w:t>。全面完成所有影响“双服务”执法突出问题及“一法一办法”检查交办问题整改，对6个月内无违法数据监控设备逐台评估，无保留必要的32处监控设备先予关停，对符合规定的交通违法实行首违誉告、轻违免罚。二是</w:t>
      </w:r>
      <w:bookmarkStart w:id="6" w:name="OLE_LINK24"/>
      <w:r>
        <w:rPr>
          <w:rFonts w:hint="eastAsia" w:ascii="仿宋" w:hAnsi="仿宋" w:eastAsia="仿宋" w:cs="仿宋"/>
          <w:sz w:val="28"/>
          <w:szCs w:val="28"/>
        </w:rPr>
        <w:t>事故认定复核零差错</w:t>
      </w:r>
      <w:bookmarkEnd w:id="6"/>
      <w:r>
        <w:rPr>
          <w:rFonts w:hint="eastAsia" w:ascii="仿宋" w:hAnsi="仿宋" w:eastAsia="仿宋" w:cs="仿宋"/>
          <w:sz w:val="28"/>
          <w:szCs w:val="28"/>
        </w:rPr>
        <w:t>。严格按照事故复核工作规范审查报关，共召开复核案件集体讨论会30场次，没有一起复核案件引起上访上诉，实现事故复核“</w:t>
      </w:r>
      <w:r>
        <w:rPr>
          <w:rFonts w:hint="eastAsia" w:ascii="仿宋" w:hAnsi="仿宋" w:eastAsia="仿宋" w:cs="仿宋"/>
          <w:sz w:val="28"/>
          <w:szCs w:val="28"/>
          <w:lang w:val="en-US" w:eastAsia="zh-CN"/>
        </w:rPr>
        <w:t>零</w:t>
      </w:r>
      <w:r>
        <w:rPr>
          <w:rFonts w:hint="eastAsia" w:ascii="仿宋" w:hAnsi="仿宋" w:eastAsia="仿宋" w:cs="仿宋"/>
          <w:sz w:val="28"/>
          <w:szCs w:val="28"/>
        </w:rPr>
        <w:t>差错”。三是</w:t>
      </w:r>
      <w:bookmarkStart w:id="7" w:name="OLE_LINK25"/>
      <w:r>
        <w:rPr>
          <w:rFonts w:hint="eastAsia" w:ascii="仿宋" w:hAnsi="仿宋" w:eastAsia="仿宋" w:cs="仿宋"/>
          <w:sz w:val="28"/>
          <w:szCs w:val="28"/>
        </w:rPr>
        <w:t>队管酒管平台精细化</w:t>
      </w:r>
      <w:bookmarkEnd w:id="7"/>
      <w:r>
        <w:rPr>
          <w:rFonts w:hint="eastAsia" w:ascii="仿宋" w:hAnsi="仿宋" w:eastAsia="仿宋" w:cs="仿宋"/>
          <w:sz w:val="28"/>
          <w:szCs w:val="28"/>
        </w:rPr>
        <w:t>。规范管理全市执法记录仪，每周一提醒、每月一通报，两个季度被公安部抽检质量均为优秀。进一步规范管理酒精检测仪器。</w:t>
      </w:r>
    </w:p>
    <w:p>
      <w:pPr>
        <w:ind w:firstLine="560" w:firstLineChars="200"/>
        <w:rPr>
          <w:rFonts w:ascii="仿宋" w:hAnsi="仿宋" w:eastAsia="仿宋" w:cs="仿宋"/>
          <w:sz w:val="28"/>
          <w:szCs w:val="28"/>
        </w:rPr>
      </w:pPr>
      <w:r>
        <w:rPr>
          <w:rFonts w:hint="eastAsia" w:ascii="仿宋" w:hAnsi="仿宋" w:eastAsia="仿宋" w:cs="仿宋"/>
          <w:sz w:val="28"/>
          <w:szCs w:val="28"/>
        </w:rPr>
        <w:t>（五）</w:t>
      </w:r>
      <w:bookmarkStart w:id="8" w:name="OLE_LINK13"/>
      <w:bookmarkStart w:id="9" w:name="OLE_LINK8"/>
      <w:r>
        <w:rPr>
          <w:rFonts w:hint="eastAsia" w:ascii="仿宋" w:hAnsi="仿宋" w:eastAsia="仿宋" w:cs="仿宋"/>
          <w:sz w:val="28"/>
          <w:szCs w:val="28"/>
        </w:rPr>
        <w:t>交通安全宣传</w:t>
      </w:r>
      <w:bookmarkEnd w:id="8"/>
      <w:r>
        <w:rPr>
          <w:rFonts w:hint="eastAsia" w:ascii="仿宋" w:hAnsi="仿宋" w:eastAsia="仿宋" w:cs="仿宋"/>
          <w:sz w:val="28"/>
          <w:szCs w:val="28"/>
        </w:rPr>
        <w:t>创建新阵地、新载体、新品牌</w:t>
      </w:r>
      <w:bookmarkEnd w:id="9"/>
      <w:r>
        <w:rPr>
          <w:rFonts w:hint="eastAsia" w:ascii="仿宋" w:hAnsi="仿宋" w:eastAsia="仿宋" w:cs="仿宋"/>
          <w:sz w:val="28"/>
          <w:szCs w:val="28"/>
        </w:rPr>
        <w:t>。一是铺天盖地广覆益。今年来，共开展各类交通安全宣传 5413场次，举办大型主题宣传活动，市中心城区大型户外电子显示屏滚动播放交通安全提示警示内容。制作发放宣传物料、原创交通宣传海报、分类制作交通安全宣传警示教育音法短视频。二是精准宣传提影响。持续深耕农村地区，开展“美丽乡村行”“一盔一带”等主题宣传活动，更新固定式警示牌宣传语，发放头盔、反光背心。升级应急广播调度平台，全市农村大喇叭达覆盖率90%以上。三是警示提示降风险。将“五大曝光”行动相关内容覆盖“报、网、端、微、屏”全媒体，曝光车窗抛物、</w:t>
      </w:r>
      <w:r>
        <w:rPr>
          <w:rFonts w:hint="eastAsia" w:ascii="仿宋" w:hAnsi="仿宋" w:eastAsia="仿宋" w:cs="仿宋"/>
          <w:sz w:val="28"/>
          <w:szCs w:val="28"/>
          <w:lang w:val="en-US" w:eastAsia="zh-CN"/>
        </w:rPr>
        <w:t>重点</w:t>
      </w:r>
      <w:r>
        <w:rPr>
          <w:rFonts w:hint="eastAsia" w:ascii="仿宋" w:hAnsi="仿宋" w:eastAsia="仿宋" w:cs="仿宋"/>
          <w:sz w:val="28"/>
          <w:szCs w:val="28"/>
        </w:rPr>
        <w:t>交通违法、交通违法突出企业、终生禁驾、机动车不礼让斑马线案例。依托市交通安全警示教育基地，开展“知危险 会避险”体验教育。（六）</w:t>
      </w:r>
      <w:bookmarkStart w:id="10" w:name="OLE_LINK9"/>
      <w:r>
        <w:rPr>
          <w:rFonts w:hint="eastAsia" w:ascii="仿宋" w:hAnsi="仿宋" w:eastAsia="仿宋" w:cs="仿宋"/>
          <w:sz w:val="28"/>
          <w:szCs w:val="28"/>
        </w:rPr>
        <w:t>回应群众急难愁盼可感知、可获得、可惠及</w:t>
      </w:r>
      <w:bookmarkEnd w:id="10"/>
      <w:r>
        <w:rPr>
          <w:rFonts w:hint="eastAsia" w:ascii="仿宋" w:hAnsi="仿宋" w:eastAsia="仿宋" w:cs="仿宋"/>
          <w:sz w:val="28"/>
          <w:szCs w:val="28"/>
        </w:rPr>
        <w:t>。一是推行摩托车办证送考。设立摩托车综合业务窗口、警邮警保服务代办点、摩托车服务站，“流动车管所”开进164个社区、村委，登记并发放摩托车牌证，受到广大驾驶人欢迎。二是完善事故快处及救助调解机制。继续推行轻微交通事故视频快处这一便民利民工程，今年来，视频快处比率已达</w:t>
      </w:r>
      <w:bookmarkStart w:id="11" w:name="OLE_LINK19"/>
      <w:r>
        <w:rPr>
          <w:rFonts w:hint="eastAsia" w:ascii="仿宋" w:hAnsi="仿宋" w:eastAsia="仿宋" w:cs="仿宋"/>
          <w:sz w:val="28"/>
          <w:szCs w:val="28"/>
        </w:rPr>
        <w:t>60.71%</w:t>
      </w:r>
      <w:bookmarkEnd w:id="11"/>
      <w:r>
        <w:rPr>
          <w:rFonts w:hint="eastAsia" w:ascii="仿宋" w:hAnsi="仿宋" w:eastAsia="仿宋" w:cs="仿宋"/>
          <w:sz w:val="28"/>
          <w:szCs w:val="28"/>
        </w:rPr>
        <w:t>。完善事故救助及调解机制。三是推进“放管服”改革。积极落实部局8项公安交管便民利企改革新措施，全面推行机动车行驶证电子化，已于10月份顺利启动，拟年底全面推广应用。支队车管所荣获“全国二等车辆管理所”，平江县公安交警大队车辆管理所荣获“全国一等县级车辆管理所”。四是启动派出所管交通。将农村派出所管交通作为全年重点工作强势推进，推动市局将派出所管交通纳入对县市区公安局的绩效评估。</w:t>
      </w:r>
    </w:p>
    <w:p>
      <w:pPr>
        <w:ind w:firstLine="560" w:firstLineChars="200"/>
        <w:rPr>
          <w:rFonts w:ascii="仿宋" w:hAnsi="仿宋" w:eastAsia="仿宋" w:cs="仿宋"/>
          <w:sz w:val="28"/>
          <w:szCs w:val="28"/>
        </w:rPr>
      </w:pPr>
      <w:r>
        <w:rPr>
          <w:rFonts w:hint="eastAsia" w:ascii="仿宋" w:hAnsi="仿宋" w:eastAsia="仿宋" w:cs="仿宋"/>
          <w:sz w:val="28"/>
          <w:szCs w:val="28"/>
        </w:rPr>
        <w:t>（七）</w:t>
      </w:r>
      <w:bookmarkStart w:id="12" w:name="OLE_LINK10"/>
      <w:r>
        <w:rPr>
          <w:rFonts w:hint="eastAsia" w:ascii="仿宋" w:hAnsi="仿宋" w:eastAsia="仿宋" w:cs="仿宋"/>
          <w:sz w:val="28"/>
          <w:szCs w:val="28"/>
        </w:rPr>
        <w:t>公安交警铁军锻造强党性、强纪律、强担当</w:t>
      </w:r>
      <w:bookmarkEnd w:id="12"/>
      <w:r>
        <w:rPr>
          <w:rFonts w:hint="eastAsia" w:ascii="仿宋" w:hAnsi="仿宋" w:eastAsia="仿宋" w:cs="仿宋"/>
          <w:sz w:val="28"/>
          <w:szCs w:val="28"/>
        </w:rPr>
        <w:t>。一是教育整训从严从实。组织直属单位民辅</w:t>
      </w:r>
      <w:r>
        <w:rPr>
          <w:rFonts w:hint="eastAsia" w:ascii="仿宋" w:hAnsi="仿宋" w:eastAsia="仿宋" w:cs="仿宋"/>
          <w:sz w:val="28"/>
          <w:szCs w:val="28"/>
          <w:lang w:val="en-US" w:eastAsia="zh-CN"/>
        </w:rPr>
        <w:t>警</w:t>
      </w:r>
      <w:r>
        <w:rPr>
          <w:rFonts w:hint="eastAsia" w:ascii="仿宋" w:hAnsi="仿宋" w:eastAsia="仿宋" w:cs="仿宋"/>
          <w:sz w:val="28"/>
          <w:szCs w:val="28"/>
        </w:rPr>
        <w:t>观看警示教育片、撰写心得体会。对照“十种不良现象”“八项顽瘴痼疾”，以党支部为单位开展全覆盖层级谈心谈话，全方位梳理查找重点岗位队伍教育管理风险点。二是从严治警深查深改。健全监督责任谈话机制。</w:t>
      </w:r>
    </w:p>
    <w:p>
      <w:pPr>
        <w:pStyle w:val="9"/>
        <w:numPr>
          <w:ilvl w:val="0"/>
          <w:numId w:val="2"/>
        </w:numPr>
        <w:ind w:firstLineChars="0"/>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存在的问题及原因分析</w:t>
      </w:r>
    </w:p>
    <w:p>
      <w:pPr>
        <w:widowControl/>
        <w:spacing w:line="640" w:lineRule="exact"/>
        <w:ind w:firstLine="560" w:firstLineChars="200"/>
        <w:rPr>
          <w:rFonts w:ascii="仿宋" w:hAnsi="仿宋" w:eastAsia="仿宋" w:cs="仿宋"/>
          <w:sz w:val="28"/>
          <w:szCs w:val="28"/>
        </w:rPr>
      </w:pPr>
      <w:r>
        <w:rPr>
          <w:rFonts w:hint="eastAsia" w:ascii="仿宋" w:hAnsi="仿宋" w:eastAsia="仿宋" w:cs="仿宋"/>
          <w:sz w:val="28"/>
          <w:szCs w:val="28"/>
        </w:rPr>
        <w:t>1、各部门对绩效评价工作的重要性认识有待进一步提高。</w:t>
      </w:r>
    </w:p>
    <w:p>
      <w:pPr>
        <w:widowControl/>
        <w:spacing w:line="640" w:lineRule="exact"/>
        <w:ind w:firstLine="560" w:firstLineChars="200"/>
        <w:rPr>
          <w:rFonts w:eastAsia="仿宋_GB2312"/>
          <w:color w:val="000000" w:themeColor="text1"/>
          <w:sz w:val="32"/>
          <w:szCs w:val="32"/>
          <w14:textFill>
            <w14:solidFill>
              <w14:schemeClr w14:val="tx1"/>
            </w14:solidFill>
          </w14:textFill>
        </w:rPr>
      </w:pPr>
      <w:r>
        <w:rPr>
          <w:rFonts w:hint="eastAsia" w:ascii="仿宋" w:hAnsi="仿宋" w:eastAsia="仿宋" w:cs="仿宋"/>
          <w:sz w:val="28"/>
          <w:szCs w:val="28"/>
        </w:rPr>
        <w:t>2、完善项目管理制度，保证财政资金的合理使用。合理压减支出，提升资金的使用效益</w:t>
      </w:r>
      <w:r>
        <w:rPr>
          <w:rFonts w:hint="eastAsia" w:eastAsia="仿宋_GB2312"/>
          <w:sz w:val="32"/>
          <w:szCs w:val="32"/>
        </w:rPr>
        <w:t>。</w:t>
      </w:r>
    </w:p>
    <w:p>
      <w:pPr>
        <w:widowControl/>
        <w:numPr>
          <w:ilvl w:val="0"/>
          <w:numId w:val="3"/>
        </w:numPr>
        <w:spacing w:line="640" w:lineRule="exact"/>
        <w:ind w:firstLine="640" w:firstLineChars="200"/>
        <w:rPr>
          <w:rFonts w:eastAsia="黑体"/>
          <w:sz w:val="32"/>
          <w:szCs w:val="32"/>
        </w:rPr>
      </w:pPr>
      <w:r>
        <w:rPr>
          <w:rFonts w:eastAsia="黑体"/>
          <w:sz w:val="32"/>
          <w:szCs w:val="32"/>
        </w:rPr>
        <w:t>下一步改进措施</w:t>
      </w:r>
    </w:p>
    <w:p>
      <w:pPr>
        <w:widowControl/>
        <w:spacing w:line="640" w:lineRule="exact"/>
        <w:ind w:firstLine="560" w:firstLineChars="200"/>
        <w:rPr>
          <w:rFonts w:ascii="仿宋" w:hAnsi="仿宋" w:eastAsia="仿宋" w:cs="仿宋"/>
          <w:sz w:val="28"/>
          <w:szCs w:val="28"/>
        </w:rPr>
      </w:pPr>
      <w:r>
        <w:rPr>
          <w:rFonts w:hint="eastAsia" w:ascii="仿宋" w:hAnsi="仿宋" w:eastAsia="仿宋" w:cs="仿宋"/>
          <w:sz w:val="28"/>
          <w:szCs w:val="28"/>
        </w:rPr>
        <w:t>1、</w:t>
      </w:r>
      <w:r>
        <w:rPr>
          <w:rFonts w:ascii="仿宋" w:hAnsi="仿宋" w:eastAsia="仿宋" w:cs="仿宋"/>
          <w:sz w:val="28"/>
          <w:szCs w:val="28"/>
        </w:rPr>
        <w:t>严格项目资金财务管理制度。按照项目管理制度及财务管理制度实施，加强项目管理和</w:t>
      </w:r>
      <w:r>
        <w:rPr>
          <w:rFonts w:hint="eastAsia" w:ascii="仿宋" w:hAnsi="仿宋" w:eastAsia="仿宋" w:cs="仿宋"/>
          <w:sz w:val="28"/>
          <w:szCs w:val="28"/>
        </w:rPr>
        <w:t>监</w:t>
      </w:r>
      <w:r>
        <w:rPr>
          <w:rFonts w:ascii="仿宋" w:hAnsi="仿宋" w:eastAsia="仿宋" w:cs="仿宋"/>
          <w:sz w:val="28"/>
          <w:szCs w:val="28"/>
        </w:rPr>
        <w:t>督</w:t>
      </w:r>
      <w:r>
        <w:rPr>
          <w:rFonts w:hint="eastAsia" w:ascii="仿宋" w:hAnsi="仿宋" w:eastAsia="仿宋" w:cs="仿宋"/>
          <w:sz w:val="28"/>
          <w:szCs w:val="28"/>
        </w:rPr>
        <w:t>，</w:t>
      </w:r>
      <w:r>
        <w:rPr>
          <w:rFonts w:ascii="仿宋" w:hAnsi="仿宋" w:eastAsia="仿宋" w:cs="仿宋"/>
          <w:sz w:val="28"/>
          <w:szCs w:val="28"/>
        </w:rPr>
        <w:t>确保项目实施规范</w:t>
      </w:r>
      <w:r>
        <w:rPr>
          <w:rFonts w:hint="eastAsia" w:ascii="仿宋" w:hAnsi="仿宋" w:eastAsia="仿宋" w:cs="仿宋"/>
          <w:sz w:val="28"/>
          <w:szCs w:val="28"/>
        </w:rPr>
        <w:t>。</w:t>
      </w:r>
    </w:p>
    <w:p>
      <w:pPr>
        <w:widowControl/>
        <w:spacing w:line="640" w:lineRule="exact"/>
        <w:ind w:firstLine="560" w:firstLineChars="200"/>
        <w:rPr>
          <w:rFonts w:ascii="仿宋" w:hAnsi="仿宋" w:eastAsia="仿宋" w:cs="仿宋"/>
          <w:sz w:val="28"/>
          <w:szCs w:val="28"/>
        </w:rPr>
      </w:pPr>
      <w:r>
        <w:rPr>
          <w:rFonts w:hint="eastAsia" w:ascii="仿宋" w:hAnsi="仿宋" w:eastAsia="仿宋" w:cs="仿宋"/>
          <w:sz w:val="28"/>
          <w:szCs w:val="28"/>
        </w:rPr>
        <w:t>2、细化预算编制，进一步加强单位内部机构的预算管理意识，提高预算编制的科学性、严谨性、可控性。</w:t>
      </w:r>
    </w:p>
    <w:p>
      <w:pPr>
        <w:widowControl/>
        <w:spacing w:line="640" w:lineRule="exact"/>
        <w:rPr>
          <w:rFonts w:eastAsia="黑体"/>
          <w:sz w:val="32"/>
          <w:szCs w:val="32"/>
        </w:rPr>
      </w:pPr>
      <w:r>
        <w:rPr>
          <w:rFonts w:hint="eastAsia" w:eastAsia="仿宋_GB2312"/>
          <w:sz w:val="32"/>
          <w:szCs w:val="32"/>
        </w:rPr>
        <w:t xml:space="preserve">    </w:t>
      </w:r>
      <w:r>
        <w:rPr>
          <w:rFonts w:eastAsia="黑体"/>
          <w:sz w:val="32"/>
          <w:szCs w:val="32"/>
        </w:rPr>
        <w:t>九、部门整体支出绩效自评结果拟应用和公开情况</w:t>
      </w:r>
    </w:p>
    <w:p>
      <w:pPr>
        <w:widowControl/>
        <w:spacing w:line="640" w:lineRule="exact"/>
        <w:ind w:firstLine="640" w:firstLineChars="200"/>
        <w:rPr>
          <w:rFonts w:eastAsia="黑体"/>
          <w:sz w:val="32"/>
          <w:szCs w:val="32"/>
        </w:rPr>
      </w:pPr>
      <w:r>
        <w:rPr>
          <w:rFonts w:eastAsia="黑体"/>
          <w:sz w:val="32"/>
          <w:szCs w:val="32"/>
        </w:rPr>
        <w:t>其他需要说明的情况</w:t>
      </w:r>
    </w:p>
    <w:p>
      <w:pPr>
        <w:widowControl/>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报告需要以下附件：</w:t>
      </w:r>
    </w:p>
    <w:p>
      <w:pPr>
        <w:widowControl/>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1.部门整体支出绩效评价基础数据表</w:t>
      </w:r>
    </w:p>
    <w:p>
      <w:pPr>
        <w:widowControl/>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2.部门整体支出绩效自评表</w:t>
      </w:r>
    </w:p>
    <w:p>
      <w:pPr>
        <w:widowControl/>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3.项目支出绩效自评表（一个一级项目支出一张表）</w:t>
      </w:r>
    </w:p>
    <w:p>
      <w:pPr>
        <w:widowControl/>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4.政府性基金预算支出情况表</w:t>
      </w:r>
    </w:p>
    <w:p>
      <w:pPr>
        <w:widowControl/>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5.国有资本经营预算支出情况表</w:t>
      </w:r>
    </w:p>
    <w:p>
      <w:pPr>
        <w:widowControl/>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6.社会保险基金预算支出情况表</w:t>
      </w:r>
    </w:p>
    <w:p>
      <w:pPr>
        <w:widowControl/>
        <w:spacing w:line="640" w:lineRule="exact"/>
        <w:rPr>
          <w:rFonts w:ascii="黑体" w:hAnsi="黑体" w:eastAsia="黑体" w:cs="黑体"/>
          <w:sz w:val="32"/>
          <w:szCs w:val="32"/>
        </w:rPr>
      </w:pPr>
      <w:r>
        <w:rPr>
          <w:rFonts w:hint="eastAsia" w:ascii="黑体" w:hAnsi="黑体" w:eastAsia="黑体" w:cs="黑体"/>
          <w:sz w:val="32"/>
          <w:szCs w:val="32"/>
        </w:rPr>
        <w:br w:type="page"/>
      </w:r>
      <w:r>
        <w:rPr>
          <w:rFonts w:hint="eastAsia" w:ascii="黑体" w:hAnsi="黑体" w:eastAsia="黑体" w:cs="黑体"/>
          <w:sz w:val="32"/>
          <w:szCs w:val="32"/>
        </w:rPr>
        <w:t>附件5</w:t>
      </w:r>
    </w:p>
    <w:p>
      <w:pPr>
        <w:spacing w:beforeLines="100" w:afterLines="50"/>
        <w:jc w:val="center"/>
        <w:rPr>
          <w:rFonts w:ascii="方正小标宋简体" w:hAnsi="方正小标宋简体" w:eastAsia="方正小标宋简体" w:cs="方正小标宋简体"/>
          <w:spacing w:val="-6"/>
          <w:sz w:val="36"/>
          <w:szCs w:val="36"/>
        </w:rPr>
      </w:pPr>
      <w:r>
        <w:rPr>
          <w:rFonts w:hint="eastAsia" w:ascii="方正小标宋简体" w:hAnsi="方正小标宋简体" w:eastAsia="方正小标宋简体" w:cs="方正小标宋简体"/>
          <w:sz w:val="36"/>
          <w:szCs w:val="36"/>
        </w:rPr>
        <w:t>部门整体支出</w:t>
      </w:r>
      <w:r>
        <w:rPr>
          <w:rFonts w:hint="eastAsia" w:ascii="方正小标宋简体" w:hAnsi="方正小标宋简体" w:eastAsia="方正小标宋简体" w:cs="方正小标宋简体"/>
          <w:spacing w:val="-6"/>
          <w:sz w:val="36"/>
          <w:szCs w:val="36"/>
        </w:rPr>
        <w:t>绩效自评工作考核评分表</w:t>
      </w:r>
    </w:p>
    <w:tbl>
      <w:tblPr>
        <w:tblStyle w:val="6"/>
        <w:tblW w:w="9941" w:type="dxa"/>
        <w:jc w:val="center"/>
        <w:tblLayout w:type="fixed"/>
        <w:tblCellMar>
          <w:top w:w="0" w:type="dxa"/>
          <w:left w:w="108" w:type="dxa"/>
          <w:bottom w:w="0" w:type="dxa"/>
          <w:right w:w="108" w:type="dxa"/>
        </w:tblCellMar>
      </w:tblPr>
      <w:tblGrid>
        <w:gridCol w:w="745"/>
        <w:gridCol w:w="1174"/>
        <w:gridCol w:w="5000"/>
        <w:gridCol w:w="3022"/>
      </w:tblGrid>
      <w:tr>
        <w:tblPrEx>
          <w:tblCellMar>
            <w:top w:w="0" w:type="dxa"/>
            <w:left w:w="108" w:type="dxa"/>
            <w:bottom w:w="0" w:type="dxa"/>
            <w:right w:w="108" w:type="dxa"/>
          </w:tblCellMar>
        </w:tblPrEx>
        <w:trPr>
          <w:tblHeader/>
          <w:jc w:val="center"/>
        </w:trPr>
        <w:tc>
          <w:tcPr>
            <w:tcW w:w="745" w:type="dxa"/>
            <w:tcBorders>
              <w:top w:val="single" w:color="auto" w:sz="4" w:space="0"/>
              <w:left w:val="single" w:color="auto" w:sz="4" w:space="0"/>
              <w:bottom w:val="single" w:color="auto" w:sz="4" w:space="0"/>
              <w:right w:val="single" w:color="auto" w:sz="4" w:space="0"/>
            </w:tcBorders>
            <w:noWrap/>
            <w:vAlign w:val="center"/>
          </w:tcPr>
          <w:p>
            <w:pPr>
              <w:spacing w:line="300" w:lineRule="exact"/>
              <w:jc w:val="center"/>
              <w:rPr>
                <w:rFonts w:eastAsia="黑体"/>
                <w:bCs/>
                <w:szCs w:val="21"/>
              </w:rPr>
            </w:pPr>
            <w:r>
              <w:rPr>
                <w:rFonts w:eastAsia="黑体"/>
                <w:bCs/>
                <w:szCs w:val="21"/>
              </w:rPr>
              <w:t>一级指标</w:t>
            </w:r>
          </w:p>
        </w:tc>
        <w:tc>
          <w:tcPr>
            <w:tcW w:w="1174" w:type="dxa"/>
            <w:tcBorders>
              <w:top w:val="single" w:color="auto" w:sz="4" w:space="0"/>
              <w:left w:val="nil"/>
              <w:bottom w:val="single" w:color="auto" w:sz="4" w:space="0"/>
              <w:right w:val="single" w:color="auto" w:sz="4" w:space="0"/>
            </w:tcBorders>
            <w:noWrap/>
            <w:vAlign w:val="center"/>
          </w:tcPr>
          <w:p>
            <w:pPr>
              <w:spacing w:line="300" w:lineRule="exact"/>
              <w:jc w:val="center"/>
              <w:rPr>
                <w:rFonts w:eastAsia="黑体"/>
                <w:bCs/>
                <w:szCs w:val="21"/>
              </w:rPr>
            </w:pPr>
            <w:r>
              <w:rPr>
                <w:rFonts w:eastAsia="黑体"/>
                <w:bCs/>
                <w:szCs w:val="21"/>
              </w:rPr>
              <w:t>二级指标</w:t>
            </w:r>
          </w:p>
        </w:tc>
        <w:tc>
          <w:tcPr>
            <w:tcW w:w="5000" w:type="dxa"/>
            <w:tcBorders>
              <w:top w:val="single" w:color="auto" w:sz="4" w:space="0"/>
              <w:left w:val="nil"/>
              <w:bottom w:val="single" w:color="auto" w:sz="4" w:space="0"/>
              <w:right w:val="single" w:color="auto" w:sz="4" w:space="0"/>
            </w:tcBorders>
            <w:noWrap/>
            <w:vAlign w:val="center"/>
          </w:tcPr>
          <w:p>
            <w:pPr>
              <w:spacing w:line="300" w:lineRule="exact"/>
              <w:jc w:val="center"/>
              <w:rPr>
                <w:rFonts w:eastAsia="黑体"/>
                <w:bCs/>
                <w:szCs w:val="21"/>
              </w:rPr>
            </w:pPr>
            <w:r>
              <w:rPr>
                <w:rFonts w:eastAsia="黑体"/>
                <w:bCs/>
                <w:szCs w:val="21"/>
              </w:rPr>
              <w:t>评分标准</w:t>
            </w:r>
          </w:p>
        </w:tc>
        <w:tc>
          <w:tcPr>
            <w:tcW w:w="3022" w:type="dxa"/>
            <w:tcBorders>
              <w:top w:val="single" w:color="auto" w:sz="4" w:space="0"/>
              <w:left w:val="nil"/>
              <w:bottom w:val="single" w:color="auto" w:sz="4" w:space="0"/>
              <w:right w:val="single" w:color="auto" w:sz="4" w:space="0"/>
            </w:tcBorders>
            <w:noWrap/>
            <w:vAlign w:val="center"/>
          </w:tcPr>
          <w:p>
            <w:pPr>
              <w:spacing w:line="300" w:lineRule="exact"/>
              <w:jc w:val="center"/>
              <w:rPr>
                <w:rFonts w:eastAsia="黑体"/>
                <w:bCs/>
                <w:szCs w:val="21"/>
              </w:rPr>
            </w:pPr>
            <w:r>
              <w:rPr>
                <w:rFonts w:eastAsia="黑体"/>
                <w:bCs/>
                <w:szCs w:val="21"/>
              </w:rPr>
              <w:t>所需佐证材料</w:t>
            </w:r>
          </w:p>
        </w:tc>
      </w:tr>
      <w:tr>
        <w:tblPrEx>
          <w:tblCellMar>
            <w:top w:w="0" w:type="dxa"/>
            <w:left w:w="108" w:type="dxa"/>
            <w:bottom w:w="0" w:type="dxa"/>
            <w:right w:w="108" w:type="dxa"/>
          </w:tblCellMar>
        </w:tblPrEx>
        <w:trPr>
          <w:jc w:val="center"/>
        </w:trPr>
        <w:tc>
          <w:tcPr>
            <w:tcW w:w="745" w:type="dxa"/>
            <w:vMerge w:val="restart"/>
            <w:tcBorders>
              <w:top w:val="single" w:color="auto" w:sz="4" w:space="0"/>
              <w:left w:val="single" w:color="auto" w:sz="4" w:space="0"/>
              <w:right w:val="single" w:color="auto" w:sz="4" w:space="0"/>
            </w:tcBorders>
            <w:noWrap/>
            <w:vAlign w:val="center"/>
          </w:tcPr>
          <w:p>
            <w:pPr>
              <w:spacing w:line="300" w:lineRule="exact"/>
              <w:jc w:val="center"/>
              <w:rPr>
                <w:rFonts w:eastAsia="仿宋_GB2312"/>
                <w:sz w:val="20"/>
                <w:szCs w:val="20"/>
              </w:rPr>
            </w:pPr>
            <w:r>
              <w:rPr>
                <w:rFonts w:eastAsia="仿宋_GB2312"/>
                <w:sz w:val="20"/>
                <w:szCs w:val="20"/>
              </w:rPr>
              <w:t>布置工作</w:t>
            </w:r>
          </w:p>
          <w:p>
            <w:pPr>
              <w:spacing w:line="300" w:lineRule="exact"/>
              <w:jc w:val="center"/>
              <w:rPr>
                <w:rFonts w:eastAsia="仿宋_GB2312"/>
                <w:sz w:val="20"/>
                <w:szCs w:val="20"/>
              </w:rPr>
            </w:pPr>
          </w:p>
          <w:p>
            <w:pPr>
              <w:spacing w:line="300" w:lineRule="exact"/>
              <w:jc w:val="left"/>
              <w:rPr>
                <w:rFonts w:eastAsia="仿宋_GB2312"/>
                <w:sz w:val="20"/>
                <w:szCs w:val="20"/>
              </w:rPr>
            </w:pPr>
            <w:r>
              <w:rPr>
                <w:rFonts w:eastAsia="仿宋_GB2312"/>
                <w:sz w:val="20"/>
                <w:szCs w:val="20"/>
              </w:rPr>
              <w:t>10分</w:t>
            </w:r>
          </w:p>
        </w:tc>
        <w:tc>
          <w:tcPr>
            <w:tcW w:w="1174" w:type="dxa"/>
            <w:tcBorders>
              <w:top w:val="single" w:color="auto" w:sz="4" w:space="0"/>
              <w:left w:val="nil"/>
              <w:right w:val="single" w:color="auto" w:sz="4" w:space="0"/>
            </w:tcBorders>
            <w:noWrap/>
            <w:vAlign w:val="center"/>
          </w:tcPr>
          <w:p>
            <w:pPr>
              <w:spacing w:line="300" w:lineRule="exact"/>
              <w:jc w:val="center"/>
              <w:rPr>
                <w:rFonts w:eastAsia="仿宋_GB2312"/>
                <w:sz w:val="20"/>
                <w:szCs w:val="20"/>
              </w:rPr>
            </w:pPr>
            <w:r>
              <w:rPr>
                <w:rFonts w:eastAsia="仿宋_GB2312"/>
                <w:sz w:val="20"/>
                <w:szCs w:val="20"/>
              </w:rPr>
              <w:t>自评通知</w:t>
            </w:r>
          </w:p>
          <w:p>
            <w:pPr>
              <w:spacing w:line="300" w:lineRule="exact"/>
              <w:jc w:val="center"/>
              <w:rPr>
                <w:rFonts w:eastAsia="仿宋_GB2312"/>
                <w:sz w:val="20"/>
                <w:szCs w:val="20"/>
              </w:rPr>
            </w:pPr>
            <w:r>
              <w:rPr>
                <w:rFonts w:eastAsia="仿宋_GB2312"/>
                <w:sz w:val="20"/>
                <w:szCs w:val="20"/>
              </w:rPr>
              <w:t>（8分）</w:t>
            </w:r>
          </w:p>
        </w:tc>
        <w:tc>
          <w:tcPr>
            <w:tcW w:w="5000" w:type="dxa"/>
            <w:tcBorders>
              <w:top w:val="single" w:color="auto" w:sz="4" w:space="0"/>
              <w:left w:val="nil"/>
              <w:bottom w:val="single" w:color="auto" w:sz="4" w:space="0"/>
              <w:right w:val="single" w:color="auto" w:sz="4" w:space="0"/>
            </w:tcBorders>
            <w:noWrap/>
            <w:vAlign w:val="center"/>
          </w:tcPr>
          <w:p>
            <w:pPr>
              <w:spacing w:line="300" w:lineRule="exact"/>
              <w:rPr>
                <w:rFonts w:eastAsia="仿宋_GB2312"/>
                <w:sz w:val="20"/>
                <w:szCs w:val="20"/>
              </w:rPr>
            </w:pPr>
            <w:r>
              <w:rPr>
                <w:rFonts w:eastAsia="仿宋_GB2312"/>
                <w:sz w:val="20"/>
                <w:szCs w:val="20"/>
              </w:rPr>
              <w:t>1</w:t>
            </w:r>
            <w:r>
              <w:rPr>
                <w:rFonts w:hint="eastAsia" w:eastAsia="仿宋_GB2312"/>
                <w:sz w:val="20"/>
                <w:szCs w:val="20"/>
              </w:rPr>
              <w:t>.</w:t>
            </w:r>
            <w:r>
              <w:rPr>
                <w:rFonts w:eastAsia="仿宋_GB2312"/>
                <w:sz w:val="20"/>
                <w:szCs w:val="20"/>
              </w:rPr>
              <w:t>印发绩效自评通知的得2分，否则不得分。</w:t>
            </w:r>
          </w:p>
          <w:p>
            <w:pPr>
              <w:spacing w:line="300" w:lineRule="exact"/>
              <w:rPr>
                <w:rFonts w:eastAsia="仿宋_GB2312"/>
                <w:sz w:val="20"/>
                <w:szCs w:val="20"/>
              </w:rPr>
            </w:pPr>
            <w:r>
              <w:rPr>
                <w:rFonts w:eastAsia="仿宋_GB2312"/>
                <w:sz w:val="20"/>
                <w:szCs w:val="20"/>
              </w:rPr>
              <w:t>2</w:t>
            </w:r>
            <w:r>
              <w:rPr>
                <w:rFonts w:hint="eastAsia" w:eastAsia="仿宋_GB2312"/>
                <w:sz w:val="20"/>
                <w:szCs w:val="20"/>
              </w:rPr>
              <w:t>.</w:t>
            </w:r>
            <w:r>
              <w:rPr>
                <w:rFonts w:eastAsia="仿宋_GB2312"/>
                <w:sz w:val="20"/>
                <w:szCs w:val="20"/>
              </w:rPr>
              <w:t>按照本规程规定，绩效自评通知包括自评范围、自评主要依据、自评主要内容、自评程序和步骤、有关要求等内容，并附有本通知要求的附件的，得6分；否则缺1项扣1分，最多扣6分。</w:t>
            </w:r>
          </w:p>
        </w:tc>
        <w:tc>
          <w:tcPr>
            <w:tcW w:w="3022" w:type="dxa"/>
            <w:tcBorders>
              <w:top w:val="single" w:color="auto" w:sz="4" w:space="0"/>
              <w:left w:val="nil"/>
              <w:bottom w:val="single" w:color="auto" w:sz="4" w:space="0"/>
              <w:right w:val="single" w:color="auto" w:sz="4" w:space="0"/>
            </w:tcBorders>
            <w:noWrap/>
            <w:vAlign w:val="center"/>
          </w:tcPr>
          <w:p>
            <w:pPr>
              <w:spacing w:line="300" w:lineRule="exact"/>
              <w:rPr>
                <w:rFonts w:eastAsia="仿宋_GB2312"/>
                <w:sz w:val="20"/>
                <w:szCs w:val="20"/>
              </w:rPr>
            </w:pPr>
            <w:r>
              <w:rPr>
                <w:rFonts w:eastAsia="仿宋_GB2312"/>
                <w:sz w:val="20"/>
                <w:szCs w:val="20"/>
              </w:rPr>
              <w:t>绩效自评通知盖章的电子版</w:t>
            </w:r>
          </w:p>
        </w:tc>
      </w:tr>
      <w:tr>
        <w:tblPrEx>
          <w:tblCellMar>
            <w:top w:w="0" w:type="dxa"/>
            <w:left w:w="108" w:type="dxa"/>
            <w:bottom w:w="0" w:type="dxa"/>
            <w:right w:w="108" w:type="dxa"/>
          </w:tblCellMar>
        </w:tblPrEx>
        <w:trPr>
          <w:trHeight w:val="996" w:hRule="atLeast"/>
          <w:jc w:val="center"/>
        </w:trPr>
        <w:tc>
          <w:tcPr>
            <w:tcW w:w="745" w:type="dxa"/>
            <w:vMerge w:val="continue"/>
            <w:tcBorders>
              <w:left w:val="single" w:color="auto" w:sz="4" w:space="0"/>
              <w:bottom w:val="single" w:color="auto" w:sz="4" w:space="0"/>
              <w:right w:val="single" w:color="auto" w:sz="4" w:space="0"/>
            </w:tcBorders>
            <w:noWrap/>
            <w:vAlign w:val="center"/>
          </w:tcPr>
          <w:p>
            <w:pPr>
              <w:spacing w:line="300" w:lineRule="exact"/>
              <w:rPr>
                <w:rFonts w:eastAsia="仿宋_GB2312"/>
                <w:sz w:val="20"/>
                <w:szCs w:val="20"/>
              </w:rPr>
            </w:pPr>
          </w:p>
        </w:tc>
        <w:tc>
          <w:tcPr>
            <w:tcW w:w="1174" w:type="dxa"/>
            <w:tcBorders>
              <w:top w:val="single" w:color="auto" w:sz="4" w:space="0"/>
              <w:left w:val="nil"/>
              <w:bottom w:val="single" w:color="auto" w:sz="4" w:space="0"/>
              <w:right w:val="single" w:color="auto" w:sz="4" w:space="0"/>
            </w:tcBorders>
            <w:noWrap/>
            <w:vAlign w:val="center"/>
          </w:tcPr>
          <w:p>
            <w:pPr>
              <w:spacing w:line="300" w:lineRule="exact"/>
              <w:jc w:val="center"/>
              <w:rPr>
                <w:rFonts w:eastAsia="仿宋_GB2312"/>
                <w:sz w:val="20"/>
                <w:szCs w:val="20"/>
              </w:rPr>
            </w:pPr>
            <w:r>
              <w:rPr>
                <w:rFonts w:eastAsia="仿宋_GB2312"/>
                <w:sz w:val="20"/>
                <w:szCs w:val="20"/>
              </w:rPr>
              <w:t>工作小组</w:t>
            </w:r>
          </w:p>
          <w:p>
            <w:pPr>
              <w:spacing w:line="300" w:lineRule="exact"/>
              <w:jc w:val="center"/>
              <w:rPr>
                <w:rFonts w:eastAsia="仿宋_GB2312"/>
                <w:sz w:val="20"/>
                <w:szCs w:val="20"/>
              </w:rPr>
            </w:pPr>
            <w:r>
              <w:rPr>
                <w:rFonts w:eastAsia="仿宋_GB2312"/>
                <w:sz w:val="20"/>
                <w:szCs w:val="20"/>
              </w:rPr>
              <w:t>（2分）</w:t>
            </w:r>
          </w:p>
        </w:tc>
        <w:tc>
          <w:tcPr>
            <w:tcW w:w="5000" w:type="dxa"/>
            <w:tcBorders>
              <w:top w:val="single" w:color="auto" w:sz="4" w:space="0"/>
              <w:left w:val="nil"/>
              <w:bottom w:val="single" w:color="auto" w:sz="4" w:space="0"/>
              <w:right w:val="single" w:color="auto" w:sz="4" w:space="0"/>
            </w:tcBorders>
            <w:noWrap/>
            <w:vAlign w:val="center"/>
          </w:tcPr>
          <w:p>
            <w:pPr>
              <w:spacing w:line="300" w:lineRule="exact"/>
              <w:rPr>
                <w:rFonts w:eastAsia="仿宋_GB2312"/>
                <w:sz w:val="20"/>
                <w:szCs w:val="20"/>
              </w:rPr>
            </w:pPr>
            <w:r>
              <w:rPr>
                <w:rFonts w:eastAsia="仿宋_GB2312"/>
                <w:sz w:val="20"/>
                <w:szCs w:val="20"/>
              </w:rPr>
              <w:t>成立绩效自评工作小组的得2分，否则不得分。</w:t>
            </w:r>
          </w:p>
        </w:tc>
        <w:tc>
          <w:tcPr>
            <w:tcW w:w="3022" w:type="dxa"/>
            <w:tcBorders>
              <w:top w:val="single" w:color="auto" w:sz="4" w:space="0"/>
              <w:left w:val="nil"/>
              <w:bottom w:val="single" w:color="auto" w:sz="4" w:space="0"/>
              <w:right w:val="single" w:color="auto" w:sz="4" w:space="0"/>
            </w:tcBorders>
            <w:noWrap/>
            <w:vAlign w:val="center"/>
          </w:tcPr>
          <w:p>
            <w:pPr>
              <w:spacing w:line="300" w:lineRule="exact"/>
              <w:rPr>
                <w:rFonts w:eastAsia="仿宋_GB2312"/>
                <w:sz w:val="20"/>
                <w:szCs w:val="20"/>
              </w:rPr>
            </w:pPr>
            <w:r>
              <w:rPr>
                <w:rFonts w:eastAsia="仿宋_GB2312"/>
                <w:sz w:val="20"/>
                <w:szCs w:val="20"/>
              </w:rPr>
              <w:t>本部门、本单位预算绩效管理领导小组/绩效评价工作小组有关文件盖章的电子版</w:t>
            </w:r>
          </w:p>
        </w:tc>
      </w:tr>
      <w:tr>
        <w:tblPrEx>
          <w:tblCellMar>
            <w:top w:w="0" w:type="dxa"/>
            <w:left w:w="108" w:type="dxa"/>
            <w:bottom w:w="0" w:type="dxa"/>
            <w:right w:w="108" w:type="dxa"/>
          </w:tblCellMar>
        </w:tblPrEx>
        <w:trPr>
          <w:trHeight w:val="1320" w:hRule="atLeast"/>
          <w:jc w:val="center"/>
        </w:trPr>
        <w:tc>
          <w:tcPr>
            <w:tcW w:w="745" w:type="dxa"/>
            <w:vMerge w:val="restart"/>
            <w:tcBorders>
              <w:top w:val="single" w:color="auto" w:sz="4" w:space="0"/>
              <w:left w:val="single" w:color="auto" w:sz="4" w:space="0"/>
              <w:right w:val="single" w:color="auto" w:sz="4" w:space="0"/>
            </w:tcBorders>
            <w:noWrap/>
            <w:vAlign w:val="center"/>
          </w:tcPr>
          <w:p>
            <w:pPr>
              <w:spacing w:line="300" w:lineRule="exact"/>
              <w:jc w:val="center"/>
              <w:rPr>
                <w:rFonts w:eastAsia="仿宋_GB2312"/>
                <w:sz w:val="20"/>
                <w:szCs w:val="20"/>
              </w:rPr>
            </w:pPr>
            <w:r>
              <w:rPr>
                <w:rFonts w:eastAsia="仿宋_GB2312"/>
                <w:sz w:val="20"/>
                <w:szCs w:val="20"/>
              </w:rPr>
              <w:t>实施评价</w:t>
            </w:r>
          </w:p>
          <w:p>
            <w:pPr>
              <w:spacing w:line="300" w:lineRule="exact"/>
              <w:jc w:val="center"/>
              <w:rPr>
                <w:rFonts w:eastAsia="仿宋_GB2312"/>
                <w:sz w:val="20"/>
                <w:szCs w:val="20"/>
              </w:rPr>
            </w:pPr>
          </w:p>
          <w:p>
            <w:pPr>
              <w:spacing w:line="300" w:lineRule="exact"/>
              <w:jc w:val="center"/>
              <w:rPr>
                <w:rFonts w:eastAsia="仿宋_GB2312"/>
                <w:sz w:val="20"/>
                <w:szCs w:val="20"/>
              </w:rPr>
            </w:pPr>
            <w:r>
              <w:rPr>
                <w:rFonts w:eastAsia="仿宋_GB2312"/>
                <w:sz w:val="20"/>
                <w:szCs w:val="20"/>
              </w:rPr>
              <w:t>20分</w:t>
            </w:r>
          </w:p>
        </w:tc>
        <w:tc>
          <w:tcPr>
            <w:tcW w:w="1174" w:type="dxa"/>
            <w:tcBorders>
              <w:top w:val="single" w:color="auto" w:sz="4" w:space="0"/>
              <w:left w:val="nil"/>
              <w:bottom w:val="single" w:color="auto" w:sz="4" w:space="0"/>
              <w:right w:val="single" w:color="auto" w:sz="4" w:space="0"/>
            </w:tcBorders>
            <w:noWrap/>
            <w:vAlign w:val="center"/>
          </w:tcPr>
          <w:p>
            <w:pPr>
              <w:spacing w:line="300" w:lineRule="exact"/>
              <w:jc w:val="center"/>
              <w:rPr>
                <w:rFonts w:eastAsia="仿宋_GB2312"/>
                <w:sz w:val="20"/>
                <w:szCs w:val="20"/>
              </w:rPr>
            </w:pPr>
            <w:r>
              <w:rPr>
                <w:rFonts w:eastAsia="仿宋_GB2312"/>
                <w:sz w:val="20"/>
                <w:szCs w:val="20"/>
              </w:rPr>
              <w:t>单位自查</w:t>
            </w:r>
          </w:p>
          <w:p>
            <w:pPr>
              <w:spacing w:line="300" w:lineRule="exact"/>
              <w:jc w:val="center"/>
              <w:rPr>
                <w:rFonts w:eastAsia="仿宋_GB2312"/>
                <w:sz w:val="20"/>
                <w:szCs w:val="20"/>
              </w:rPr>
            </w:pPr>
            <w:r>
              <w:rPr>
                <w:rFonts w:eastAsia="仿宋_GB2312"/>
                <w:sz w:val="20"/>
                <w:szCs w:val="20"/>
              </w:rPr>
              <w:t>（10分）</w:t>
            </w:r>
          </w:p>
        </w:tc>
        <w:tc>
          <w:tcPr>
            <w:tcW w:w="5000" w:type="dxa"/>
            <w:tcBorders>
              <w:top w:val="single" w:color="auto" w:sz="4" w:space="0"/>
              <w:left w:val="nil"/>
              <w:bottom w:val="single" w:color="auto" w:sz="4" w:space="0"/>
              <w:right w:val="single" w:color="auto" w:sz="4" w:space="0"/>
            </w:tcBorders>
            <w:noWrap/>
            <w:vAlign w:val="center"/>
          </w:tcPr>
          <w:p>
            <w:pPr>
              <w:spacing w:line="300" w:lineRule="exact"/>
              <w:rPr>
                <w:rFonts w:eastAsia="仿宋_GB2312"/>
                <w:sz w:val="20"/>
                <w:szCs w:val="20"/>
              </w:rPr>
            </w:pPr>
            <w:r>
              <w:rPr>
                <w:rFonts w:hint="eastAsia" w:eastAsia="仿宋_GB2312"/>
                <w:sz w:val="20"/>
                <w:szCs w:val="20"/>
              </w:rPr>
              <w:t>市级</w:t>
            </w:r>
            <w:r>
              <w:rPr>
                <w:rFonts w:eastAsia="仿宋_GB2312"/>
                <w:sz w:val="20"/>
                <w:szCs w:val="20"/>
              </w:rPr>
              <w:t>预算部门本级和所属单位都要开展绩效自查，转移支付项目单位都要开展绩效自查，</w:t>
            </w:r>
            <w:r>
              <w:rPr>
                <w:rFonts w:hint="eastAsia" w:eastAsia="仿宋_GB2312"/>
                <w:sz w:val="20"/>
                <w:szCs w:val="20"/>
              </w:rPr>
              <w:t>县、区</w:t>
            </w:r>
            <w:r>
              <w:rPr>
                <w:rFonts w:eastAsia="仿宋_GB2312"/>
                <w:sz w:val="20"/>
                <w:szCs w:val="20"/>
              </w:rPr>
              <w:t>级主管部门都要汇总本区域转移支付情况；以上各项每发现一个单位没有做相应工作的，扣1分，最多扣10分。</w:t>
            </w:r>
          </w:p>
        </w:tc>
        <w:tc>
          <w:tcPr>
            <w:tcW w:w="3022" w:type="dxa"/>
            <w:tcBorders>
              <w:top w:val="single" w:color="auto" w:sz="4" w:space="0"/>
              <w:left w:val="nil"/>
              <w:bottom w:val="single" w:color="auto" w:sz="4" w:space="0"/>
              <w:right w:val="single" w:color="auto" w:sz="4" w:space="0"/>
            </w:tcBorders>
            <w:noWrap/>
            <w:vAlign w:val="center"/>
          </w:tcPr>
          <w:p>
            <w:pPr>
              <w:numPr>
                <w:ilvl w:val="0"/>
                <w:numId w:val="4"/>
              </w:numPr>
              <w:spacing w:line="300" w:lineRule="exact"/>
              <w:rPr>
                <w:rFonts w:eastAsia="仿宋_GB2312"/>
                <w:sz w:val="20"/>
                <w:szCs w:val="20"/>
              </w:rPr>
            </w:pPr>
            <w:r>
              <w:rPr>
                <w:rFonts w:eastAsia="仿宋_GB2312"/>
                <w:sz w:val="20"/>
                <w:szCs w:val="20"/>
              </w:rPr>
              <w:t>转移支付项目单位名称和资金情况清单</w:t>
            </w:r>
          </w:p>
          <w:p>
            <w:pPr>
              <w:numPr>
                <w:ilvl w:val="0"/>
                <w:numId w:val="4"/>
              </w:numPr>
              <w:spacing w:line="300" w:lineRule="exact"/>
              <w:rPr>
                <w:rFonts w:eastAsia="仿宋_GB2312"/>
                <w:sz w:val="20"/>
                <w:szCs w:val="20"/>
              </w:rPr>
            </w:pPr>
            <w:r>
              <w:rPr>
                <w:rFonts w:eastAsia="仿宋_GB2312"/>
                <w:sz w:val="20"/>
                <w:szCs w:val="20"/>
              </w:rPr>
              <w:t>有转移支付资金的各</w:t>
            </w:r>
            <w:r>
              <w:rPr>
                <w:rFonts w:hint="eastAsia" w:eastAsia="仿宋_GB2312"/>
                <w:sz w:val="20"/>
                <w:szCs w:val="20"/>
              </w:rPr>
              <w:t>县区</w:t>
            </w:r>
            <w:r>
              <w:rPr>
                <w:rFonts w:eastAsia="仿宋_GB2312"/>
                <w:sz w:val="20"/>
                <w:szCs w:val="20"/>
              </w:rPr>
              <w:t>主管部门汇总情况的盖章PDF版　</w:t>
            </w:r>
          </w:p>
        </w:tc>
      </w:tr>
      <w:tr>
        <w:tblPrEx>
          <w:tblCellMar>
            <w:top w:w="0" w:type="dxa"/>
            <w:left w:w="108" w:type="dxa"/>
            <w:bottom w:w="0" w:type="dxa"/>
            <w:right w:w="108" w:type="dxa"/>
          </w:tblCellMar>
        </w:tblPrEx>
        <w:trPr>
          <w:jc w:val="center"/>
        </w:trPr>
        <w:tc>
          <w:tcPr>
            <w:tcW w:w="745" w:type="dxa"/>
            <w:vMerge w:val="continue"/>
            <w:tcBorders>
              <w:left w:val="single" w:color="auto" w:sz="4" w:space="0"/>
              <w:bottom w:val="single" w:color="auto" w:sz="4" w:space="0"/>
              <w:right w:val="single" w:color="auto" w:sz="4" w:space="0"/>
            </w:tcBorders>
            <w:noWrap/>
            <w:vAlign w:val="center"/>
          </w:tcPr>
          <w:p>
            <w:pPr>
              <w:spacing w:line="300" w:lineRule="exact"/>
              <w:rPr>
                <w:rFonts w:eastAsia="仿宋_GB2312"/>
                <w:sz w:val="20"/>
                <w:szCs w:val="20"/>
              </w:rPr>
            </w:pPr>
          </w:p>
        </w:tc>
        <w:tc>
          <w:tcPr>
            <w:tcW w:w="1174" w:type="dxa"/>
            <w:tcBorders>
              <w:top w:val="nil"/>
              <w:left w:val="nil"/>
              <w:bottom w:val="single" w:color="auto" w:sz="4" w:space="0"/>
              <w:right w:val="single" w:color="auto" w:sz="4" w:space="0"/>
            </w:tcBorders>
            <w:noWrap/>
            <w:vAlign w:val="center"/>
          </w:tcPr>
          <w:p>
            <w:pPr>
              <w:spacing w:line="300" w:lineRule="exact"/>
              <w:jc w:val="center"/>
              <w:rPr>
                <w:rFonts w:eastAsia="仿宋_GB2312"/>
                <w:sz w:val="20"/>
                <w:szCs w:val="20"/>
              </w:rPr>
            </w:pPr>
            <w:r>
              <w:rPr>
                <w:rFonts w:eastAsia="仿宋_GB2312"/>
                <w:sz w:val="20"/>
                <w:szCs w:val="20"/>
              </w:rPr>
              <w:t>提交报告</w:t>
            </w:r>
          </w:p>
          <w:p>
            <w:pPr>
              <w:spacing w:line="300" w:lineRule="exact"/>
              <w:jc w:val="center"/>
              <w:rPr>
                <w:rFonts w:eastAsia="仿宋_GB2312"/>
                <w:sz w:val="20"/>
                <w:szCs w:val="20"/>
              </w:rPr>
            </w:pPr>
            <w:r>
              <w:rPr>
                <w:rFonts w:eastAsia="仿宋_GB2312"/>
                <w:sz w:val="20"/>
                <w:szCs w:val="20"/>
              </w:rPr>
              <w:t>（10分）</w:t>
            </w:r>
          </w:p>
        </w:tc>
        <w:tc>
          <w:tcPr>
            <w:tcW w:w="8022" w:type="dxa"/>
            <w:gridSpan w:val="2"/>
            <w:tcBorders>
              <w:top w:val="nil"/>
              <w:left w:val="nil"/>
              <w:bottom w:val="single" w:color="auto" w:sz="4" w:space="0"/>
              <w:right w:val="single" w:color="auto" w:sz="4" w:space="0"/>
            </w:tcBorders>
            <w:noWrap/>
            <w:vAlign w:val="center"/>
          </w:tcPr>
          <w:p>
            <w:pPr>
              <w:spacing w:line="300" w:lineRule="exact"/>
              <w:jc w:val="center"/>
              <w:rPr>
                <w:rFonts w:eastAsia="仿宋_GB2312"/>
                <w:sz w:val="20"/>
                <w:szCs w:val="20"/>
              </w:rPr>
            </w:pPr>
            <w:r>
              <w:rPr>
                <w:rFonts w:eastAsia="仿宋_GB2312"/>
                <w:sz w:val="20"/>
                <w:szCs w:val="20"/>
              </w:rPr>
              <w:t>按时向</w:t>
            </w:r>
            <w:r>
              <w:rPr>
                <w:rFonts w:hint="eastAsia" w:eastAsia="仿宋_GB2312"/>
                <w:sz w:val="20"/>
                <w:szCs w:val="20"/>
              </w:rPr>
              <w:t>市财政局</w:t>
            </w:r>
            <w:r>
              <w:rPr>
                <w:rFonts w:eastAsia="仿宋_GB2312"/>
                <w:sz w:val="20"/>
                <w:szCs w:val="20"/>
              </w:rPr>
              <w:t>报送报告的得10分；每推迟一个工作日报送报告的扣1分，最多扣10分。</w:t>
            </w:r>
          </w:p>
        </w:tc>
      </w:tr>
      <w:tr>
        <w:tblPrEx>
          <w:tblCellMar>
            <w:top w:w="0" w:type="dxa"/>
            <w:left w:w="108" w:type="dxa"/>
            <w:bottom w:w="0" w:type="dxa"/>
            <w:right w:w="108" w:type="dxa"/>
          </w:tblCellMar>
        </w:tblPrEx>
        <w:trPr>
          <w:trHeight w:val="740" w:hRule="atLeast"/>
          <w:jc w:val="center"/>
        </w:trPr>
        <w:tc>
          <w:tcPr>
            <w:tcW w:w="745" w:type="dxa"/>
            <w:vMerge w:val="restart"/>
            <w:tcBorders>
              <w:top w:val="single" w:color="auto" w:sz="4" w:space="0"/>
              <w:left w:val="single" w:color="auto" w:sz="4" w:space="0"/>
              <w:bottom w:val="single" w:color="auto" w:sz="4" w:space="0"/>
              <w:right w:val="single" w:color="auto" w:sz="4" w:space="0"/>
            </w:tcBorders>
            <w:noWrap/>
            <w:vAlign w:val="center"/>
          </w:tcPr>
          <w:p>
            <w:pPr>
              <w:spacing w:line="300" w:lineRule="exact"/>
              <w:jc w:val="center"/>
              <w:rPr>
                <w:rFonts w:eastAsia="仿宋_GB2312"/>
                <w:sz w:val="20"/>
                <w:szCs w:val="20"/>
              </w:rPr>
            </w:pPr>
            <w:r>
              <w:rPr>
                <w:rFonts w:eastAsia="仿宋_GB2312"/>
                <w:sz w:val="20"/>
                <w:szCs w:val="20"/>
              </w:rPr>
              <w:t>自评报告</w:t>
            </w:r>
          </w:p>
          <w:p>
            <w:pPr>
              <w:spacing w:line="300" w:lineRule="exact"/>
              <w:jc w:val="center"/>
              <w:rPr>
                <w:rFonts w:eastAsia="仿宋_GB2312"/>
                <w:sz w:val="20"/>
                <w:szCs w:val="20"/>
              </w:rPr>
            </w:pPr>
          </w:p>
          <w:p>
            <w:pPr>
              <w:spacing w:line="300" w:lineRule="exact"/>
              <w:jc w:val="center"/>
              <w:rPr>
                <w:rFonts w:eastAsia="仿宋_GB2312"/>
                <w:sz w:val="20"/>
                <w:szCs w:val="20"/>
              </w:rPr>
            </w:pPr>
            <w:r>
              <w:rPr>
                <w:rFonts w:eastAsia="仿宋_GB2312"/>
                <w:sz w:val="20"/>
                <w:szCs w:val="20"/>
              </w:rPr>
              <w:t>70分</w:t>
            </w:r>
          </w:p>
        </w:tc>
        <w:tc>
          <w:tcPr>
            <w:tcW w:w="1174" w:type="dxa"/>
            <w:tcBorders>
              <w:top w:val="single" w:color="auto" w:sz="4" w:space="0"/>
              <w:left w:val="nil"/>
              <w:bottom w:val="single" w:color="auto" w:sz="4" w:space="0"/>
              <w:right w:val="single" w:color="auto" w:sz="4" w:space="0"/>
            </w:tcBorders>
            <w:noWrap/>
            <w:vAlign w:val="center"/>
          </w:tcPr>
          <w:p>
            <w:pPr>
              <w:spacing w:line="300" w:lineRule="exact"/>
              <w:jc w:val="center"/>
              <w:rPr>
                <w:rFonts w:eastAsia="仿宋_GB2312"/>
                <w:sz w:val="20"/>
                <w:szCs w:val="20"/>
              </w:rPr>
            </w:pPr>
            <w:r>
              <w:rPr>
                <w:rFonts w:eastAsia="仿宋_GB2312"/>
                <w:sz w:val="20"/>
                <w:szCs w:val="20"/>
              </w:rPr>
              <w:t>完整性</w:t>
            </w:r>
          </w:p>
          <w:p>
            <w:pPr>
              <w:spacing w:line="300" w:lineRule="exact"/>
              <w:jc w:val="center"/>
              <w:rPr>
                <w:rFonts w:eastAsia="仿宋_GB2312"/>
                <w:sz w:val="20"/>
                <w:szCs w:val="20"/>
              </w:rPr>
            </w:pPr>
            <w:r>
              <w:rPr>
                <w:rFonts w:eastAsia="仿宋_GB2312"/>
                <w:sz w:val="20"/>
                <w:szCs w:val="20"/>
              </w:rPr>
              <w:t>（15分）</w:t>
            </w:r>
          </w:p>
        </w:tc>
        <w:tc>
          <w:tcPr>
            <w:tcW w:w="8022" w:type="dxa"/>
            <w:gridSpan w:val="2"/>
            <w:tcBorders>
              <w:top w:val="single" w:color="auto" w:sz="4" w:space="0"/>
              <w:left w:val="nil"/>
              <w:bottom w:val="single" w:color="auto" w:sz="4" w:space="0"/>
              <w:right w:val="single" w:color="auto" w:sz="4" w:space="0"/>
            </w:tcBorders>
            <w:noWrap/>
            <w:vAlign w:val="center"/>
          </w:tcPr>
          <w:p>
            <w:pPr>
              <w:rPr>
                <w:rFonts w:eastAsia="仿宋_GB2312"/>
                <w:sz w:val="20"/>
                <w:szCs w:val="20"/>
              </w:rPr>
            </w:pPr>
            <w:r>
              <w:rPr>
                <w:rFonts w:eastAsia="仿宋_GB2312"/>
                <w:sz w:val="20"/>
                <w:szCs w:val="20"/>
              </w:rPr>
              <w:t>1</w:t>
            </w:r>
            <w:r>
              <w:rPr>
                <w:rFonts w:hint="eastAsia" w:eastAsia="仿宋_GB2312"/>
                <w:sz w:val="20"/>
                <w:szCs w:val="20"/>
              </w:rPr>
              <w:t>.</w:t>
            </w:r>
            <w:r>
              <w:rPr>
                <w:rFonts w:eastAsia="仿宋_GB2312"/>
                <w:sz w:val="20"/>
                <w:szCs w:val="20"/>
              </w:rPr>
              <w:t>绩效自评报告正文部分内容齐全的，得8分；否则每少一个部分扣2分，最多扣8分。</w:t>
            </w:r>
          </w:p>
          <w:p>
            <w:pPr>
              <w:jc w:val="left"/>
              <w:rPr>
                <w:rFonts w:eastAsia="仿宋_GB2312"/>
                <w:sz w:val="20"/>
                <w:szCs w:val="20"/>
              </w:rPr>
            </w:pPr>
            <w:r>
              <w:rPr>
                <w:rFonts w:eastAsia="仿宋_GB2312"/>
                <w:sz w:val="20"/>
                <w:szCs w:val="20"/>
              </w:rPr>
              <w:t>2</w:t>
            </w:r>
            <w:r>
              <w:rPr>
                <w:rFonts w:hint="eastAsia" w:eastAsia="仿宋_GB2312"/>
                <w:sz w:val="20"/>
                <w:szCs w:val="20"/>
              </w:rPr>
              <w:t>.</w:t>
            </w:r>
            <w:r>
              <w:rPr>
                <w:rFonts w:eastAsia="仿宋_GB2312"/>
                <w:sz w:val="20"/>
                <w:szCs w:val="20"/>
              </w:rPr>
              <w:t>绩效自评报告附件部分内容齐全的，得7分；否则每少一个部分扣2分，最多扣7分。</w:t>
            </w:r>
          </w:p>
        </w:tc>
      </w:tr>
      <w:tr>
        <w:tblPrEx>
          <w:tblCellMar>
            <w:top w:w="0" w:type="dxa"/>
            <w:left w:w="108" w:type="dxa"/>
            <w:bottom w:w="0" w:type="dxa"/>
            <w:right w:w="108" w:type="dxa"/>
          </w:tblCellMar>
        </w:tblPrEx>
        <w:trPr>
          <w:trHeight w:val="2592"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ign w:val="center"/>
          </w:tcPr>
          <w:p>
            <w:pPr>
              <w:spacing w:line="300" w:lineRule="exact"/>
              <w:rPr>
                <w:rFonts w:eastAsia="仿宋_GB2312"/>
                <w:sz w:val="20"/>
                <w:szCs w:val="20"/>
              </w:rPr>
            </w:pPr>
          </w:p>
        </w:tc>
        <w:tc>
          <w:tcPr>
            <w:tcW w:w="1174" w:type="dxa"/>
            <w:tcBorders>
              <w:top w:val="single" w:color="auto" w:sz="4" w:space="0"/>
              <w:left w:val="nil"/>
              <w:right w:val="single" w:color="auto" w:sz="4" w:space="0"/>
            </w:tcBorders>
            <w:noWrap/>
            <w:vAlign w:val="center"/>
          </w:tcPr>
          <w:p>
            <w:pPr>
              <w:spacing w:line="300" w:lineRule="exact"/>
              <w:jc w:val="center"/>
              <w:rPr>
                <w:rFonts w:eastAsia="仿宋_GB2312"/>
                <w:sz w:val="20"/>
                <w:szCs w:val="20"/>
              </w:rPr>
            </w:pPr>
            <w:r>
              <w:rPr>
                <w:rFonts w:eastAsia="仿宋_GB2312"/>
                <w:sz w:val="20"/>
                <w:szCs w:val="20"/>
              </w:rPr>
              <w:t>绩效</w:t>
            </w:r>
          </w:p>
          <w:p>
            <w:pPr>
              <w:spacing w:line="300" w:lineRule="exact"/>
              <w:jc w:val="center"/>
              <w:rPr>
                <w:rFonts w:eastAsia="仿宋_GB2312"/>
                <w:sz w:val="20"/>
                <w:szCs w:val="20"/>
              </w:rPr>
            </w:pPr>
            <w:r>
              <w:rPr>
                <w:rFonts w:eastAsia="仿宋_GB2312"/>
                <w:sz w:val="20"/>
                <w:szCs w:val="20"/>
              </w:rPr>
              <w:t>自评表</w:t>
            </w:r>
          </w:p>
          <w:p>
            <w:pPr>
              <w:spacing w:line="300" w:lineRule="exact"/>
              <w:jc w:val="center"/>
              <w:rPr>
                <w:rFonts w:eastAsia="仿宋_GB2312"/>
                <w:sz w:val="20"/>
                <w:szCs w:val="20"/>
              </w:rPr>
            </w:pPr>
            <w:r>
              <w:rPr>
                <w:rFonts w:eastAsia="仿宋_GB2312"/>
                <w:sz w:val="20"/>
                <w:szCs w:val="20"/>
              </w:rPr>
              <w:t>（20分）</w:t>
            </w:r>
          </w:p>
        </w:tc>
        <w:tc>
          <w:tcPr>
            <w:tcW w:w="8022" w:type="dxa"/>
            <w:gridSpan w:val="2"/>
            <w:tcBorders>
              <w:top w:val="single" w:color="auto" w:sz="4" w:space="0"/>
              <w:left w:val="nil"/>
              <w:bottom w:val="single" w:color="auto" w:sz="4" w:space="0"/>
              <w:right w:val="single" w:color="auto" w:sz="4" w:space="0"/>
            </w:tcBorders>
            <w:noWrap/>
            <w:vAlign w:val="center"/>
          </w:tcPr>
          <w:p>
            <w:pPr>
              <w:rPr>
                <w:rFonts w:eastAsia="仿宋_GB2312"/>
                <w:sz w:val="20"/>
                <w:szCs w:val="20"/>
              </w:rPr>
            </w:pPr>
            <w:r>
              <w:rPr>
                <w:rFonts w:eastAsia="仿宋_GB2312"/>
                <w:sz w:val="20"/>
                <w:szCs w:val="20"/>
              </w:rPr>
              <w:t>1、部门整体支出和项目支出绩效指标反映产出、效益、服务对象满意度方面的指标和预算执行率的权重符合《</w:t>
            </w:r>
            <w:r>
              <w:rPr>
                <w:rFonts w:hint="eastAsia" w:eastAsia="仿宋_GB2312"/>
                <w:sz w:val="20"/>
                <w:szCs w:val="20"/>
              </w:rPr>
              <w:t>岳阳市市级</w:t>
            </w:r>
            <w:r>
              <w:rPr>
                <w:rFonts w:eastAsia="仿宋_GB2312"/>
                <w:sz w:val="20"/>
                <w:szCs w:val="20"/>
              </w:rPr>
              <w:t>预算部门绩效自评操作规程》要求的，得5分，否则按比例扣除相应的分数。</w:t>
            </w:r>
          </w:p>
          <w:p>
            <w:pPr>
              <w:rPr>
                <w:rFonts w:eastAsia="仿宋_GB2312"/>
                <w:sz w:val="20"/>
                <w:szCs w:val="20"/>
              </w:rPr>
            </w:pPr>
            <w:r>
              <w:rPr>
                <w:rFonts w:eastAsia="仿宋_GB2312"/>
                <w:sz w:val="20"/>
                <w:szCs w:val="20"/>
              </w:rPr>
              <w:t>2</w:t>
            </w:r>
            <w:r>
              <w:rPr>
                <w:rFonts w:hint="eastAsia" w:eastAsia="仿宋_GB2312"/>
                <w:sz w:val="20"/>
                <w:szCs w:val="20"/>
              </w:rPr>
              <w:t>.</w:t>
            </w:r>
            <w:r>
              <w:rPr>
                <w:rFonts w:eastAsia="仿宋_GB2312"/>
                <w:sz w:val="20"/>
                <w:szCs w:val="20"/>
              </w:rPr>
              <w:t>部门整体支出和项目支出绩效指标全部细化到三级指标的，得5分；部分细化的，酌情扣分；没有细化的，不得分。</w:t>
            </w:r>
          </w:p>
          <w:p>
            <w:pPr>
              <w:jc w:val="left"/>
              <w:rPr>
                <w:rFonts w:eastAsia="仿宋_GB2312"/>
                <w:sz w:val="20"/>
                <w:szCs w:val="20"/>
              </w:rPr>
            </w:pPr>
            <w:r>
              <w:rPr>
                <w:rFonts w:eastAsia="仿宋_GB2312"/>
                <w:sz w:val="20"/>
                <w:szCs w:val="20"/>
              </w:rPr>
              <w:t>3</w:t>
            </w:r>
            <w:r>
              <w:rPr>
                <w:rFonts w:hint="eastAsia" w:eastAsia="仿宋_GB2312"/>
                <w:sz w:val="20"/>
                <w:szCs w:val="20"/>
              </w:rPr>
              <w:t>.</w:t>
            </w:r>
            <w:r>
              <w:rPr>
                <w:rFonts w:eastAsia="仿宋_GB2312"/>
                <w:sz w:val="20"/>
                <w:szCs w:val="20"/>
              </w:rPr>
              <w:t>部门整体支出和项目支出三级绩效指标内涵明确、具体、可衡量的得5分；突出核心指标，精简实用的得3分；指标与部门整体支出和项目支出密切相关，全面反映产出和效益的得2分；否则，每项酌情扣分，最多扣10分。</w:t>
            </w:r>
          </w:p>
        </w:tc>
      </w:tr>
      <w:tr>
        <w:tblPrEx>
          <w:tblCellMar>
            <w:top w:w="0" w:type="dxa"/>
            <w:left w:w="108" w:type="dxa"/>
            <w:bottom w:w="0" w:type="dxa"/>
            <w:right w:w="108" w:type="dxa"/>
          </w:tblCellMar>
        </w:tblPrEx>
        <w:trPr>
          <w:trHeight w:val="1521"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ign w:val="center"/>
          </w:tcPr>
          <w:p>
            <w:pPr>
              <w:spacing w:line="300" w:lineRule="exact"/>
              <w:jc w:val="center"/>
              <w:rPr>
                <w:rFonts w:eastAsia="仿宋_GB2312"/>
                <w:sz w:val="20"/>
                <w:szCs w:val="20"/>
              </w:rPr>
            </w:pPr>
          </w:p>
        </w:tc>
        <w:tc>
          <w:tcPr>
            <w:tcW w:w="1174" w:type="dxa"/>
            <w:tcBorders>
              <w:top w:val="single" w:color="auto" w:sz="4" w:space="0"/>
              <w:left w:val="nil"/>
              <w:bottom w:val="single" w:color="auto" w:sz="4" w:space="0"/>
              <w:right w:val="single" w:color="auto" w:sz="4" w:space="0"/>
            </w:tcBorders>
            <w:noWrap/>
            <w:vAlign w:val="center"/>
          </w:tcPr>
          <w:p>
            <w:pPr>
              <w:jc w:val="center"/>
            </w:pPr>
          </w:p>
          <w:p>
            <w:pPr>
              <w:jc w:val="center"/>
              <w:rPr>
                <w:rFonts w:eastAsia="仿宋_GB2312"/>
                <w:sz w:val="20"/>
                <w:szCs w:val="20"/>
              </w:rPr>
            </w:pPr>
            <w:r>
              <w:rPr>
                <w:rFonts w:eastAsia="仿宋_GB2312"/>
                <w:sz w:val="20"/>
                <w:szCs w:val="20"/>
              </w:rPr>
              <w:t>反映问</w:t>
            </w:r>
          </w:p>
          <w:p>
            <w:pPr>
              <w:jc w:val="center"/>
              <w:rPr>
                <w:rFonts w:eastAsia="仿宋_GB2312"/>
                <w:sz w:val="20"/>
                <w:szCs w:val="20"/>
              </w:rPr>
            </w:pPr>
            <w:r>
              <w:rPr>
                <w:rFonts w:eastAsia="仿宋_GB2312"/>
                <w:sz w:val="20"/>
                <w:szCs w:val="20"/>
              </w:rPr>
              <w:t>题情况</w:t>
            </w:r>
          </w:p>
          <w:p>
            <w:pPr>
              <w:spacing w:line="300" w:lineRule="exact"/>
              <w:jc w:val="center"/>
              <w:rPr>
                <w:rFonts w:eastAsia="仿宋_GB2312"/>
                <w:sz w:val="20"/>
                <w:szCs w:val="20"/>
              </w:rPr>
            </w:pPr>
            <w:r>
              <w:rPr>
                <w:rFonts w:eastAsia="仿宋_GB2312"/>
                <w:sz w:val="20"/>
                <w:szCs w:val="20"/>
              </w:rPr>
              <w:t>（20分）</w:t>
            </w:r>
          </w:p>
        </w:tc>
        <w:tc>
          <w:tcPr>
            <w:tcW w:w="8022" w:type="dxa"/>
            <w:gridSpan w:val="2"/>
            <w:tcBorders>
              <w:top w:val="single" w:color="auto" w:sz="4" w:space="0"/>
              <w:left w:val="nil"/>
              <w:bottom w:val="single" w:color="auto" w:sz="4" w:space="0"/>
              <w:right w:val="single" w:color="auto" w:sz="4" w:space="0"/>
            </w:tcBorders>
            <w:noWrap/>
            <w:vAlign w:val="center"/>
          </w:tcPr>
          <w:p>
            <w:pPr>
              <w:jc w:val="left"/>
              <w:rPr>
                <w:rFonts w:eastAsia="仿宋_GB2312"/>
                <w:sz w:val="20"/>
                <w:szCs w:val="20"/>
              </w:rPr>
            </w:pPr>
            <w:r>
              <w:rPr>
                <w:rFonts w:eastAsia="仿宋_GB2312"/>
                <w:sz w:val="20"/>
                <w:szCs w:val="20"/>
              </w:rPr>
              <w:t>从预算和预算绩效管理，部门履职效能，资金分配、使用和管理，资产和财务管理，政府采购等方面归纳问题、分析原因全面的，得20分；反映问题、分析原因较全面的，得16—18分；反映问题、分析原因不全面的，得13—15分；问题未归纳且过于简单的，得10—12分；只提出资金不足问题的不得分；其他情况酌情扣分。　</w:t>
            </w:r>
          </w:p>
        </w:tc>
      </w:tr>
      <w:tr>
        <w:tblPrEx>
          <w:tblCellMar>
            <w:top w:w="0" w:type="dxa"/>
            <w:left w:w="108" w:type="dxa"/>
            <w:bottom w:w="0" w:type="dxa"/>
            <w:right w:w="108" w:type="dxa"/>
          </w:tblCellMar>
        </w:tblPrEx>
        <w:trPr>
          <w:trHeight w:val="781"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ign w:val="center"/>
          </w:tcPr>
          <w:p>
            <w:pPr>
              <w:spacing w:line="300" w:lineRule="exact"/>
              <w:rPr>
                <w:rFonts w:eastAsia="仿宋_GB2312"/>
                <w:sz w:val="20"/>
                <w:szCs w:val="20"/>
              </w:rPr>
            </w:pPr>
          </w:p>
        </w:tc>
        <w:tc>
          <w:tcPr>
            <w:tcW w:w="1174" w:type="dxa"/>
            <w:tcBorders>
              <w:top w:val="single" w:color="auto" w:sz="4" w:space="0"/>
              <w:left w:val="nil"/>
              <w:bottom w:val="single" w:color="auto" w:sz="4" w:space="0"/>
              <w:right w:val="single" w:color="auto" w:sz="4" w:space="0"/>
            </w:tcBorders>
            <w:noWrap/>
            <w:vAlign w:val="center"/>
          </w:tcPr>
          <w:p>
            <w:pPr>
              <w:spacing w:line="300" w:lineRule="exact"/>
              <w:jc w:val="center"/>
              <w:rPr>
                <w:rFonts w:eastAsia="仿宋_GB2312"/>
                <w:sz w:val="20"/>
                <w:szCs w:val="20"/>
              </w:rPr>
            </w:pPr>
            <w:r>
              <w:rPr>
                <w:rFonts w:eastAsia="仿宋_GB2312"/>
                <w:sz w:val="20"/>
                <w:szCs w:val="20"/>
              </w:rPr>
              <w:t>建议情况</w:t>
            </w:r>
          </w:p>
          <w:p>
            <w:pPr>
              <w:spacing w:line="300" w:lineRule="exact"/>
              <w:jc w:val="center"/>
              <w:rPr>
                <w:rFonts w:eastAsia="仿宋_GB2312"/>
                <w:sz w:val="20"/>
                <w:szCs w:val="20"/>
              </w:rPr>
            </w:pPr>
            <w:r>
              <w:rPr>
                <w:rFonts w:eastAsia="仿宋_GB2312"/>
                <w:sz w:val="20"/>
                <w:szCs w:val="20"/>
              </w:rPr>
              <w:t>（15分）</w:t>
            </w:r>
          </w:p>
        </w:tc>
        <w:tc>
          <w:tcPr>
            <w:tcW w:w="8022" w:type="dxa"/>
            <w:gridSpan w:val="2"/>
            <w:tcBorders>
              <w:top w:val="single" w:color="auto" w:sz="4" w:space="0"/>
              <w:left w:val="nil"/>
              <w:bottom w:val="single" w:color="auto" w:sz="4" w:space="0"/>
              <w:right w:val="single" w:color="auto" w:sz="4" w:space="0"/>
            </w:tcBorders>
            <w:noWrap/>
            <w:vAlign w:val="center"/>
          </w:tcPr>
          <w:p>
            <w:pPr>
              <w:jc w:val="left"/>
              <w:rPr>
                <w:rFonts w:eastAsia="仿宋_GB2312"/>
                <w:sz w:val="20"/>
                <w:szCs w:val="20"/>
              </w:rPr>
            </w:pPr>
            <w:r>
              <w:rPr>
                <w:rFonts w:eastAsia="仿宋_GB2312"/>
                <w:sz w:val="20"/>
                <w:szCs w:val="20"/>
              </w:rPr>
              <w:t>建议与问题对应且全面的得15分，建议比较全面的得12—14分，建议不全面的得9—11分，建议过于简单的得6—8分，只提出加大资金投入建议的不得分；其他情况酌情扣分。</w:t>
            </w:r>
          </w:p>
        </w:tc>
      </w:tr>
      <w:tr>
        <w:tblPrEx>
          <w:tblCellMar>
            <w:top w:w="0" w:type="dxa"/>
            <w:left w:w="108" w:type="dxa"/>
            <w:bottom w:w="0" w:type="dxa"/>
            <w:right w:w="108" w:type="dxa"/>
          </w:tblCellMar>
        </w:tblPrEx>
        <w:trPr>
          <w:trHeight w:val="631" w:hRule="atLeast"/>
          <w:jc w:val="center"/>
        </w:trPr>
        <w:tc>
          <w:tcPr>
            <w:tcW w:w="745" w:type="dxa"/>
            <w:tcBorders>
              <w:top w:val="single" w:color="auto" w:sz="4" w:space="0"/>
              <w:left w:val="single" w:color="auto" w:sz="4" w:space="0"/>
              <w:bottom w:val="single" w:color="auto" w:sz="4" w:space="0"/>
              <w:right w:val="single" w:color="auto" w:sz="4" w:space="0"/>
            </w:tcBorders>
            <w:noWrap/>
            <w:vAlign w:val="center"/>
          </w:tcPr>
          <w:p>
            <w:pPr>
              <w:spacing w:line="300" w:lineRule="exact"/>
              <w:jc w:val="center"/>
              <w:rPr>
                <w:rFonts w:eastAsia="仿宋_GB2312"/>
                <w:sz w:val="20"/>
                <w:szCs w:val="20"/>
              </w:rPr>
            </w:pPr>
            <w:r>
              <w:rPr>
                <w:rFonts w:eastAsia="仿宋_GB2312"/>
                <w:sz w:val="20"/>
                <w:szCs w:val="20"/>
              </w:rPr>
              <w:t>合计</w:t>
            </w:r>
          </w:p>
        </w:tc>
        <w:tc>
          <w:tcPr>
            <w:tcW w:w="1174" w:type="dxa"/>
            <w:tcBorders>
              <w:top w:val="single" w:color="auto" w:sz="4" w:space="0"/>
              <w:left w:val="single" w:color="auto" w:sz="4" w:space="0"/>
              <w:bottom w:val="single" w:color="auto" w:sz="4" w:space="0"/>
              <w:right w:val="single" w:color="auto" w:sz="4" w:space="0"/>
            </w:tcBorders>
            <w:noWrap/>
            <w:vAlign w:val="center"/>
          </w:tcPr>
          <w:p>
            <w:pPr>
              <w:spacing w:line="300" w:lineRule="exact"/>
              <w:jc w:val="center"/>
              <w:rPr>
                <w:rFonts w:eastAsia="仿宋_GB2312"/>
                <w:sz w:val="20"/>
                <w:szCs w:val="20"/>
              </w:rPr>
            </w:pPr>
            <w:r>
              <w:rPr>
                <w:rFonts w:eastAsia="仿宋_GB2312"/>
                <w:sz w:val="20"/>
                <w:szCs w:val="20"/>
              </w:rPr>
              <w:t>100分</w:t>
            </w:r>
          </w:p>
        </w:tc>
        <w:tc>
          <w:tcPr>
            <w:tcW w:w="8022"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rPr>
                <w:rFonts w:eastAsia="仿宋_GB2312"/>
                <w:sz w:val="20"/>
                <w:szCs w:val="20"/>
              </w:rPr>
            </w:pPr>
            <w:r>
              <w:rPr>
                <w:rFonts w:eastAsia="仿宋_GB2312"/>
                <w:sz w:val="20"/>
                <w:szCs w:val="20"/>
              </w:rPr>
              <w:t>　</w:t>
            </w:r>
          </w:p>
        </w:tc>
      </w:tr>
    </w:tbl>
    <w:p>
      <w:pPr>
        <w:spacing w:line="20" w:lineRule="exact"/>
        <w:jc w:val="left"/>
        <w:rPr>
          <w:rFonts w:ascii="仿宋_GB2312" w:eastAsia="仿宋_GB2312"/>
          <w:sz w:val="32"/>
          <w:szCs w:val="32"/>
        </w:rPr>
      </w:pPr>
    </w:p>
    <w:p/>
    <w:p/>
    <w:sectPr>
      <w:footerReference r:id="rId3" w:type="default"/>
      <w:footerReference r:id="rId4" w:type="even"/>
      <w:pgSz w:w="11906" w:h="16838"/>
      <w:pgMar w:top="1587" w:right="1588" w:bottom="1587"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8"/>
        <w:sz w:val="24"/>
        <w:szCs w:val="24"/>
      </w:rPr>
    </w:pPr>
    <w:r>
      <w:rPr>
        <w:rStyle w:val="8"/>
        <w:rFonts w:hint="eastAsia"/>
        <w:sz w:val="24"/>
        <w:szCs w:val="24"/>
      </w:rPr>
      <w:t xml:space="preserve">— </w:t>
    </w:r>
    <w:r>
      <w:rPr>
        <w:sz w:val="24"/>
        <w:szCs w:val="24"/>
      </w:rPr>
      <w:fldChar w:fldCharType="begin"/>
    </w:r>
    <w:r>
      <w:rPr>
        <w:rStyle w:val="8"/>
        <w:sz w:val="24"/>
        <w:szCs w:val="24"/>
      </w:rPr>
      <w:instrText xml:space="preserve">PAGE  </w:instrText>
    </w:r>
    <w:r>
      <w:rPr>
        <w:sz w:val="24"/>
        <w:szCs w:val="24"/>
      </w:rPr>
      <w:fldChar w:fldCharType="separate"/>
    </w:r>
    <w:r>
      <w:rPr>
        <w:rStyle w:val="8"/>
        <w:sz w:val="24"/>
        <w:szCs w:val="24"/>
      </w:rPr>
      <w:t>6</w:t>
    </w:r>
    <w:r>
      <w:rPr>
        <w:sz w:val="24"/>
        <w:szCs w:val="24"/>
      </w:rPr>
      <w:fldChar w:fldCharType="end"/>
    </w:r>
    <w:r>
      <w:rPr>
        <w:rStyle w:val="8"/>
        <w:rFonts w:hint="eastAsia"/>
        <w:sz w:val="24"/>
        <w:szCs w:val="24"/>
      </w:rPr>
      <w:t xml:space="preserve"> —</w:t>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8"/>
      </w:rPr>
    </w:pPr>
    <w:r>
      <w:fldChar w:fldCharType="begin"/>
    </w:r>
    <w:r>
      <w:rPr>
        <w:rStyle w:val="8"/>
      </w:rPr>
      <w:instrText xml:space="preserve">PAGE  </w:instrText>
    </w:r>
    <w:r>
      <w:fldChar w:fldCharType="end"/>
    </w:r>
  </w:p>
  <w:p>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746086"/>
    <w:multiLevelType w:val="singleLevel"/>
    <w:tmpl w:val="9A746086"/>
    <w:lvl w:ilvl="0" w:tentative="0">
      <w:start w:val="8"/>
      <w:numFmt w:val="chineseCounting"/>
      <w:suff w:val="nothing"/>
      <w:lvlText w:val="%1、"/>
      <w:lvlJc w:val="left"/>
      <w:rPr>
        <w:rFonts w:hint="eastAsia"/>
      </w:rPr>
    </w:lvl>
  </w:abstractNum>
  <w:abstractNum w:abstractNumId="1">
    <w:nsid w:val="D660575B"/>
    <w:multiLevelType w:val="singleLevel"/>
    <w:tmpl w:val="D660575B"/>
    <w:lvl w:ilvl="0" w:tentative="0">
      <w:start w:val="1"/>
      <w:numFmt w:val="chineseCounting"/>
      <w:suff w:val="nothing"/>
      <w:lvlText w:val="%1、"/>
      <w:lvlJc w:val="left"/>
      <w:rPr>
        <w:rFonts w:hint="eastAsia"/>
      </w:rPr>
    </w:lvl>
  </w:abstractNum>
  <w:abstractNum w:abstractNumId="2">
    <w:nsid w:val="1ACE0321"/>
    <w:multiLevelType w:val="multilevel"/>
    <w:tmpl w:val="1ACE0321"/>
    <w:lvl w:ilvl="0" w:tentative="0">
      <w:start w:val="6"/>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5DDF8822"/>
    <w:multiLevelType w:val="singleLevel"/>
    <w:tmpl w:val="5DDF8822"/>
    <w:lvl w:ilvl="0" w:tentative="0">
      <w:start w:val="1"/>
      <w:numFmt w:val="decimal"/>
      <w:suff w:val="nothing"/>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5942DE"/>
    <w:rsid w:val="135942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footnote text"/>
    <w:basedOn w:val="1"/>
    <w:next w:val="3"/>
    <w:semiHidden/>
    <w:qFormat/>
    <w:uiPriority w:val="0"/>
    <w:pPr>
      <w:snapToGrid w:val="0"/>
      <w:jc w:val="left"/>
    </w:pPr>
    <w:rPr>
      <w:sz w:val="18"/>
      <w:szCs w:val="18"/>
    </w:rPr>
  </w:style>
  <w:style w:type="paragraph" w:styleId="3">
    <w:name w:val="Body Text First Indent 2"/>
    <w:basedOn w:val="4"/>
    <w:next w:val="1"/>
    <w:unhideWhenUsed/>
    <w:qFormat/>
    <w:uiPriority w:val="99"/>
    <w:pPr>
      <w:ind w:firstLine="420" w:firstLineChars="200"/>
    </w:pPr>
  </w:style>
  <w:style w:type="paragraph" w:styleId="4">
    <w:name w:val="Body Text Indent"/>
    <w:basedOn w:val="1"/>
    <w:next w:val="3"/>
    <w:unhideWhenUsed/>
    <w:qFormat/>
    <w:uiPriority w:val="99"/>
    <w:pPr>
      <w:widowControl/>
      <w:spacing w:after="120"/>
      <w:ind w:left="420" w:leftChars="200"/>
      <w:jc w:val="left"/>
    </w:pPr>
    <w:rPr>
      <w:rFonts w:ascii="宋体" w:hAnsi="宋体" w:eastAsia="宋体" w:cs="宋体"/>
      <w:kern w:val="0"/>
      <w:sz w:val="24"/>
    </w:rPr>
  </w:style>
  <w:style w:type="paragraph" w:styleId="5">
    <w:name w:val="footer"/>
    <w:basedOn w:val="1"/>
    <w:qFormat/>
    <w:uiPriority w:val="0"/>
    <w:pPr>
      <w:tabs>
        <w:tab w:val="center" w:pos="4153"/>
        <w:tab w:val="right" w:pos="8306"/>
      </w:tabs>
      <w:snapToGrid w:val="0"/>
      <w:jc w:val="left"/>
    </w:pPr>
    <w:rPr>
      <w:kern w:val="0"/>
      <w:sz w:val="18"/>
      <w:szCs w:val="18"/>
    </w:rPr>
  </w:style>
  <w:style w:type="character" w:styleId="8">
    <w:name w:val="page number"/>
    <w:qFormat/>
    <w:uiPriority w:val="0"/>
  </w:style>
  <w:style w:type="paragraph" w:styleId="9">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1</Company>
  <Pages>1</Pages>
  <Words>0</Words>
  <Characters>0</Characters>
  <Lines>0</Lines>
  <Paragraphs>0</Paragraphs>
  <TotalTime>3</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2025-09-23T06:53:00Z</dcterms:created>
  <dc:creator>lenovo</dc:creator>
  <cp:lastModifiedBy>lenovo</cp:lastModifiedBy>
  <dcterms:modified xsi:type="dcterms:W3CDTF">2025-09-23T06:56:42Z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F91E421DCB9A4645A0B9EFB9B38CA153</vt:lpwstr>
  </property>
</Properties>
</file>