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C707E">
      <w:pPr>
        <w:pStyle w:val="15"/>
        <w:jc w:val="center"/>
        <w:rPr>
          <w:color w:val="000000" w:themeColor="text1"/>
          <w:sz w:val="56"/>
          <w:szCs w:val="56"/>
          <w14:textFill>
            <w14:solidFill>
              <w14:schemeClr w14:val="tx1"/>
            </w14:solidFill>
          </w14:textFill>
        </w:rPr>
      </w:pPr>
    </w:p>
    <w:p w14:paraId="179C5D70">
      <w:pPr>
        <w:pStyle w:val="15"/>
        <w:jc w:val="center"/>
        <w:rPr>
          <w:color w:val="000000" w:themeColor="text1"/>
          <w:sz w:val="56"/>
          <w:szCs w:val="56"/>
          <w14:textFill>
            <w14:solidFill>
              <w14:schemeClr w14:val="tx1"/>
            </w14:solidFill>
          </w14:textFill>
        </w:rPr>
      </w:pPr>
    </w:p>
    <w:p w14:paraId="76FAE9CA">
      <w:pPr>
        <w:pStyle w:val="15"/>
        <w:jc w:val="center"/>
        <w:rPr>
          <w:color w:val="000000" w:themeColor="text1"/>
          <w:sz w:val="84"/>
          <w:szCs w:val="84"/>
          <w14:textFill>
            <w14:solidFill>
              <w14:schemeClr w14:val="tx1"/>
            </w14:solidFill>
          </w14:textFill>
        </w:rPr>
      </w:pPr>
    </w:p>
    <w:p w14:paraId="40031E97">
      <w:pPr>
        <w:pStyle w:val="15"/>
        <w:jc w:val="center"/>
        <w:rPr>
          <w:color w:val="000000" w:themeColor="text1"/>
          <w:sz w:val="84"/>
          <w:szCs w:val="84"/>
          <w14:textFill>
            <w14:solidFill>
              <w14:schemeClr w14:val="tx1"/>
            </w14:solidFill>
          </w14:textFill>
        </w:rPr>
      </w:pPr>
    </w:p>
    <w:p w14:paraId="2303F6FA">
      <w:pPr>
        <w:pStyle w:val="15"/>
        <w:jc w:val="center"/>
        <w:rPr>
          <w:rFonts w:hint="eastAsia" w:ascii="方正小标宋_GBK" w:hAnsi="方正小标宋_GBK" w:eastAsia="方正小标宋_GBK" w:cs="方正小标宋_GBK"/>
          <w:color w:val="000000" w:themeColor="text1"/>
          <w:sz w:val="84"/>
          <w:szCs w:val="84"/>
          <w14:textFill>
            <w14:solidFill>
              <w14:schemeClr w14:val="tx1"/>
            </w14:solidFill>
          </w14:textFill>
        </w:rPr>
      </w:pPr>
      <w:r>
        <w:rPr>
          <w:rFonts w:hint="eastAsia" w:ascii="方正小标宋_GBK" w:hAnsi="方正小标宋_GBK" w:eastAsia="方正小标宋_GBK" w:cs="方正小标宋_GBK"/>
          <w:color w:val="000000" w:themeColor="text1"/>
          <w:sz w:val="84"/>
          <w:szCs w:val="84"/>
          <w14:textFill>
            <w14:solidFill>
              <w14:schemeClr w14:val="tx1"/>
            </w14:solidFill>
          </w14:textFill>
        </w:rPr>
        <w:t>202</w:t>
      </w:r>
      <w:r>
        <w:rPr>
          <w:rFonts w:hint="eastAsia" w:ascii="方正小标宋_GBK" w:hAnsi="方正小标宋_GBK" w:eastAsia="方正小标宋_GBK" w:cs="方正小标宋_GBK"/>
          <w:color w:val="000000" w:themeColor="text1"/>
          <w:sz w:val="84"/>
          <w:szCs w:val="84"/>
          <w:lang w:val="en-US" w:eastAsia="zh-CN"/>
          <w14:textFill>
            <w14:solidFill>
              <w14:schemeClr w14:val="tx1"/>
            </w14:solidFill>
          </w14:textFill>
        </w:rPr>
        <w:t>4</w:t>
      </w:r>
      <w:r>
        <w:rPr>
          <w:rFonts w:hint="eastAsia" w:ascii="方正小标宋_GBK" w:hAnsi="方正小标宋_GBK" w:eastAsia="方正小标宋_GBK" w:cs="方正小标宋_GBK"/>
          <w:color w:val="000000" w:themeColor="text1"/>
          <w:sz w:val="84"/>
          <w:szCs w:val="84"/>
          <w14:textFill>
            <w14:solidFill>
              <w14:schemeClr w14:val="tx1"/>
            </w14:solidFill>
          </w14:textFill>
        </w:rPr>
        <w:t>年度</w:t>
      </w:r>
    </w:p>
    <w:p w14:paraId="1BC0DD0C">
      <w:pPr>
        <w:pStyle w:val="15"/>
        <w:jc w:val="center"/>
        <w:rPr>
          <w:rFonts w:hint="eastAsia" w:ascii="方正小标宋_GBK" w:hAnsi="方正小标宋_GBK" w:eastAsia="方正小标宋_GBK" w:cs="方正小标宋_GBK"/>
          <w:color w:val="000000" w:themeColor="text1"/>
          <w:sz w:val="84"/>
          <w:szCs w:val="84"/>
          <w14:textFill>
            <w14:solidFill>
              <w14:schemeClr w14:val="tx1"/>
            </w14:solidFill>
          </w14:textFill>
        </w:rPr>
      </w:pPr>
      <w:r>
        <w:rPr>
          <w:rFonts w:hint="eastAsia" w:ascii="方正小标宋_GBK" w:hAnsi="方正小标宋_GBK" w:eastAsia="方正小标宋_GBK" w:cs="方正小标宋_GBK"/>
          <w:color w:val="000000" w:themeColor="text1"/>
          <w:sz w:val="84"/>
          <w:szCs w:val="84"/>
          <w14:textFill>
            <w14:solidFill>
              <w14:schemeClr w14:val="tx1"/>
            </w14:solidFill>
          </w14:textFill>
        </w:rPr>
        <w:t>岳阳市城市管理综合行政</w:t>
      </w:r>
    </w:p>
    <w:p w14:paraId="4054486B">
      <w:pPr>
        <w:pStyle w:val="15"/>
        <w:jc w:val="center"/>
        <w:rPr>
          <w:rFonts w:hint="eastAsia" w:ascii="方正小标宋_GBK" w:hAnsi="方正小标宋_GBK" w:eastAsia="方正小标宋_GBK" w:cs="方正小标宋_GBK"/>
          <w:color w:val="000000" w:themeColor="text1"/>
          <w:sz w:val="84"/>
          <w:szCs w:val="84"/>
          <w14:textFill>
            <w14:solidFill>
              <w14:schemeClr w14:val="tx1"/>
            </w14:solidFill>
          </w14:textFill>
        </w:rPr>
      </w:pPr>
      <w:r>
        <w:rPr>
          <w:rFonts w:hint="eastAsia" w:ascii="方正小标宋_GBK" w:hAnsi="方正小标宋_GBK" w:eastAsia="方正小标宋_GBK" w:cs="方正小标宋_GBK"/>
          <w:color w:val="000000" w:themeColor="text1"/>
          <w:sz w:val="84"/>
          <w:szCs w:val="84"/>
          <w14:textFill>
            <w14:solidFill>
              <w14:schemeClr w14:val="tx1"/>
            </w14:solidFill>
          </w14:textFill>
        </w:rPr>
        <w:t>执法支队部门决算</w:t>
      </w:r>
    </w:p>
    <w:p w14:paraId="18677D43">
      <w:pPr>
        <w:pStyle w:val="15"/>
        <w:jc w:val="both"/>
        <w:rPr>
          <w:color w:val="000000" w:themeColor="text1"/>
          <w:sz w:val="56"/>
          <w:szCs w:val="56"/>
          <w14:textFill>
            <w14:solidFill>
              <w14:schemeClr w14:val="tx1"/>
            </w14:solidFill>
          </w14:textFill>
        </w:rPr>
      </w:pPr>
    </w:p>
    <w:p w14:paraId="76A5E435">
      <w:pPr>
        <w:pStyle w:val="15"/>
        <w:jc w:val="center"/>
        <w:rPr>
          <w:color w:val="000000" w:themeColor="text1"/>
          <w:sz w:val="56"/>
          <w:szCs w:val="56"/>
          <w14:textFill>
            <w14:solidFill>
              <w14:schemeClr w14:val="tx1"/>
            </w14:solidFill>
          </w14:textFill>
        </w:rPr>
      </w:pPr>
    </w:p>
    <w:p w14:paraId="7E83245F">
      <w:pPr>
        <w:pStyle w:val="15"/>
        <w:jc w:val="center"/>
        <w:rPr>
          <w:color w:val="000000" w:themeColor="text1"/>
          <w:sz w:val="32"/>
          <w:szCs w:val="32"/>
          <w14:textFill>
            <w14:solidFill>
              <w14:schemeClr w14:val="tx1"/>
            </w14:solidFill>
          </w14:textFill>
        </w:rPr>
      </w:pPr>
    </w:p>
    <w:p w14:paraId="1627665D">
      <w:pPr>
        <w:pStyle w:val="15"/>
        <w:jc w:val="center"/>
        <w:rPr>
          <w:color w:val="000000" w:themeColor="text1"/>
          <w:sz w:val="32"/>
          <w:szCs w:val="32"/>
          <w14:textFill>
            <w14:solidFill>
              <w14:schemeClr w14:val="tx1"/>
            </w14:solidFill>
          </w14:textFill>
        </w:rPr>
      </w:pPr>
    </w:p>
    <w:p w14:paraId="13060BC7">
      <w:pPr>
        <w:pStyle w:val="15"/>
        <w:jc w:val="center"/>
        <w:rPr>
          <w:color w:val="000000" w:themeColor="text1"/>
          <w:sz w:val="32"/>
          <w:szCs w:val="32"/>
          <w14:textFill>
            <w14:solidFill>
              <w14:schemeClr w14:val="tx1"/>
            </w14:solidFill>
          </w14:textFill>
        </w:rPr>
      </w:pPr>
    </w:p>
    <w:p w14:paraId="18816F79">
      <w:pPr>
        <w:pStyle w:val="15"/>
        <w:jc w:val="center"/>
        <w:rPr>
          <w:color w:val="000000" w:themeColor="text1"/>
          <w:sz w:val="32"/>
          <w:szCs w:val="32"/>
          <w14:textFill>
            <w14:solidFill>
              <w14:schemeClr w14:val="tx1"/>
            </w14:solidFill>
          </w14:textFill>
        </w:rPr>
      </w:pPr>
    </w:p>
    <w:p w14:paraId="04B90224">
      <w:pPr>
        <w:pStyle w:val="15"/>
        <w:jc w:val="center"/>
        <w:rPr>
          <w:color w:val="000000" w:themeColor="text1"/>
          <w:sz w:val="32"/>
          <w:szCs w:val="32"/>
          <w14:textFill>
            <w14:solidFill>
              <w14:schemeClr w14:val="tx1"/>
            </w14:solidFill>
          </w14:textFill>
        </w:rPr>
      </w:pPr>
    </w:p>
    <w:p w14:paraId="408203F0">
      <w:pPr>
        <w:pStyle w:val="15"/>
        <w:spacing w:line="540" w:lineRule="exact"/>
        <w:jc w:val="center"/>
        <w:rPr>
          <w:color w:val="000000" w:themeColor="text1"/>
          <w:sz w:val="56"/>
          <w:szCs w:val="56"/>
          <w14:textFill>
            <w14:solidFill>
              <w14:schemeClr w14:val="tx1"/>
            </w14:solidFill>
          </w14:textFill>
        </w:rPr>
      </w:pPr>
    </w:p>
    <w:p w14:paraId="56AC059C">
      <w:pPr>
        <w:pStyle w:val="15"/>
        <w:spacing w:line="500" w:lineRule="exact"/>
        <w:jc w:val="both"/>
        <w:rPr>
          <w:b/>
          <w:color w:val="000000" w:themeColor="text1"/>
          <w:sz w:val="36"/>
          <w:szCs w:val="28"/>
          <w14:textFill>
            <w14:solidFill>
              <w14:schemeClr w14:val="tx1"/>
            </w14:solidFill>
          </w14:textFill>
        </w:rPr>
      </w:pPr>
    </w:p>
    <w:p w14:paraId="63246D0E">
      <w:pPr>
        <w:pStyle w:val="15"/>
        <w:spacing w:line="500" w:lineRule="exact"/>
        <w:jc w:val="center"/>
        <w:rPr>
          <w:b/>
          <w:color w:val="000000" w:themeColor="text1"/>
          <w:sz w:val="36"/>
          <w:szCs w:val="28"/>
          <w14:textFill>
            <w14:solidFill>
              <w14:schemeClr w14:val="tx1"/>
            </w14:solidFill>
          </w14:textFill>
        </w:rPr>
      </w:pPr>
      <w:r>
        <w:rPr>
          <w:rFonts w:hint="eastAsia"/>
          <w:b/>
          <w:color w:val="000000" w:themeColor="text1"/>
          <w:sz w:val="36"/>
          <w:szCs w:val="28"/>
          <w14:textFill>
            <w14:solidFill>
              <w14:schemeClr w14:val="tx1"/>
            </w14:solidFill>
          </w14:textFill>
        </w:rPr>
        <w:t>目录</w:t>
      </w:r>
    </w:p>
    <w:p w14:paraId="6461BB0C">
      <w:pPr>
        <w:pStyle w:val="15"/>
        <w:spacing w:line="500" w:lineRule="exact"/>
        <w:rPr>
          <w:rFonts w:hint="eastAsia" w:hAnsi="黑体"/>
          <w:bCs/>
          <w:color w:val="000000" w:themeColor="text1"/>
          <w:sz w:val="28"/>
          <w:szCs w:val="28"/>
          <w14:textFill>
            <w14:solidFill>
              <w14:schemeClr w14:val="tx1"/>
            </w14:solidFill>
          </w14:textFill>
        </w:rPr>
      </w:pPr>
      <w:r>
        <w:rPr>
          <w:rFonts w:hint="eastAsia" w:hAnsi="黑体"/>
          <w:bCs/>
          <w:color w:val="000000" w:themeColor="text1"/>
          <w:sz w:val="28"/>
          <w:szCs w:val="28"/>
          <w14:textFill>
            <w14:solidFill>
              <w14:schemeClr w14:val="tx1"/>
            </w14:solidFill>
          </w14:textFill>
        </w:rPr>
        <w:t>第一部分 岳阳市城市管理综合行政执法支队概况</w:t>
      </w:r>
    </w:p>
    <w:p w14:paraId="2A4204B2">
      <w:pPr>
        <w:pStyle w:val="15"/>
        <w:spacing w:line="500" w:lineRule="exact"/>
        <w:ind w:firstLine="700" w:firstLineChars="25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一、部门职责</w:t>
      </w:r>
    </w:p>
    <w:p w14:paraId="1ED43861">
      <w:pPr>
        <w:pStyle w:val="15"/>
        <w:spacing w:line="500" w:lineRule="exact"/>
        <w:ind w:firstLine="700" w:firstLineChars="25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二、机构设置及决算单位构成</w:t>
      </w:r>
    </w:p>
    <w:p w14:paraId="3E38B534">
      <w:pPr>
        <w:pStyle w:val="15"/>
        <w:spacing w:line="500" w:lineRule="exact"/>
        <w:rPr>
          <w:rFonts w:hint="eastAsia" w:hAnsi="黑体"/>
          <w:bCs/>
          <w:color w:val="000000" w:themeColor="text1"/>
          <w:sz w:val="28"/>
          <w:szCs w:val="28"/>
          <w14:textFill>
            <w14:solidFill>
              <w14:schemeClr w14:val="tx1"/>
            </w14:solidFill>
          </w14:textFill>
        </w:rPr>
      </w:pPr>
      <w:r>
        <w:rPr>
          <w:rFonts w:hint="eastAsia" w:hAnsi="黑体"/>
          <w:bCs/>
          <w:color w:val="000000" w:themeColor="text1"/>
          <w:sz w:val="28"/>
          <w:szCs w:val="28"/>
          <w14:textFill>
            <w14:solidFill>
              <w14:schemeClr w14:val="tx1"/>
            </w14:solidFill>
          </w14:textFill>
        </w:rPr>
        <w:t>第二部分 部门决算表</w:t>
      </w:r>
    </w:p>
    <w:p w14:paraId="0D7CE805">
      <w:pPr>
        <w:pStyle w:val="15"/>
        <w:spacing w:line="500" w:lineRule="exact"/>
        <w:ind w:firstLine="700" w:firstLineChars="25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一、收入支出决算总表</w:t>
      </w:r>
    </w:p>
    <w:p w14:paraId="23B27B11">
      <w:pPr>
        <w:pStyle w:val="15"/>
        <w:spacing w:line="500" w:lineRule="exact"/>
        <w:ind w:firstLine="700" w:firstLineChars="25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二、收入决算表</w:t>
      </w:r>
    </w:p>
    <w:p w14:paraId="57E4A8CE">
      <w:pPr>
        <w:pStyle w:val="15"/>
        <w:spacing w:line="500" w:lineRule="exact"/>
        <w:ind w:firstLine="700" w:firstLineChars="25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三、支出决算表</w:t>
      </w:r>
    </w:p>
    <w:p w14:paraId="293E5A98">
      <w:pPr>
        <w:pStyle w:val="15"/>
        <w:spacing w:line="500" w:lineRule="exact"/>
        <w:ind w:firstLine="700" w:firstLineChars="25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四、财政拨款收入支出决算总表</w:t>
      </w:r>
    </w:p>
    <w:p w14:paraId="4DCDCA97">
      <w:pPr>
        <w:pStyle w:val="15"/>
        <w:spacing w:line="500" w:lineRule="exact"/>
        <w:ind w:firstLine="700" w:firstLineChars="25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五、一般公共预算财政拨款支出决算表</w:t>
      </w:r>
    </w:p>
    <w:p w14:paraId="7A3E4E7A">
      <w:pPr>
        <w:pStyle w:val="15"/>
        <w:spacing w:line="500" w:lineRule="exact"/>
        <w:ind w:firstLine="700" w:firstLineChars="25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六、一般公共预算财政拨款基本支出决算明细表</w:t>
      </w:r>
    </w:p>
    <w:p w14:paraId="564948B4">
      <w:pPr>
        <w:pStyle w:val="15"/>
        <w:spacing w:line="500" w:lineRule="exact"/>
        <w:ind w:firstLine="700" w:firstLineChars="25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七、政府性基金预算财政拨款收入支出决算表</w:t>
      </w:r>
    </w:p>
    <w:p w14:paraId="5A1821EC">
      <w:pPr>
        <w:pStyle w:val="15"/>
        <w:spacing w:line="500" w:lineRule="exact"/>
        <w:ind w:firstLine="700" w:firstLineChars="25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八、国有资本经营预算财政拨款支出决算表</w:t>
      </w:r>
    </w:p>
    <w:p w14:paraId="4F5D0D7F">
      <w:pPr>
        <w:pStyle w:val="15"/>
        <w:spacing w:line="500" w:lineRule="exact"/>
        <w:ind w:firstLine="700" w:firstLineChars="25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九、财政拨款“三公”经费支出决算表</w:t>
      </w:r>
    </w:p>
    <w:p w14:paraId="1CAD247A">
      <w:pPr>
        <w:pStyle w:val="15"/>
        <w:spacing w:line="500" w:lineRule="exact"/>
        <w:rPr>
          <w:rFonts w:hint="eastAsia" w:hAnsi="黑体"/>
          <w:bCs/>
          <w:color w:val="000000" w:themeColor="text1"/>
          <w:sz w:val="28"/>
          <w:szCs w:val="28"/>
          <w14:textFill>
            <w14:solidFill>
              <w14:schemeClr w14:val="tx1"/>
            </w14:solidFill>
          </w14:textFill>
        </w:rPr>
      </w:pPr>
      <w:r>
        <w:rPr>
          <w:rFonts w:hint="eastAsia" w:hAnsi="黑体"/>
          <w:bCs/>
          <w:color w:val="000000" w:themeColor="text1"/>
          <w:sz w:val="28"/>
          <w:szCs w:val="28"/>
          <w14:textFill>
            <w14:solidFill>
              <w14:schemeClr w14:val="tx1"/>
            </w14:solidFill>
          </w14:textFill>
        </w:rPr>
        <w:t>第三部分 部门决算情况说明</w:t>
      </w:r>
    </w:p>
    <w:p w14:paraId="47F07843">
      <w:pPr>
        <w:pStyle w:val="15"/>
        <w:spacing w:line="500" w:lineRule="exact"/>
        <w:ind w:firstLine="700" w:firstLineChars="25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一、收入支出决算总体情况说明</w:t>
      </w:r>
    </w:p>
    <w:p w14:paraId="7A80764C">
      <w:pPr>
        <w:spacing w:line="500" w:lineRule="exact"/>
        <w:ind w:firstLine="700" w:firstLineChars="250"/>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二、收入决算情况说明</w:t>
      </w:r>
    </w:p>
    <w:p w14:paraId="59B0AC57">
      <w:pPr>
        <w:autoSpaceDE w:val="0"/>
        <w:autoSpaceDN w:val="0"/>
        <w:adjustRightInd w:val="0"/>
        <w:spacing w:line="500" w:lineRule="exact"/>
        <w:ind w:firstLine="700" w:firstLineChars="25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三、支出决算情况说明</w:t>
      </w:r>
    </w:p>
    <w:p w14:paraId="15CDECD5">
      <w:pPr>
        <w:autoSpaceDE w:val="0"/>
        <w:autoSpaceDN w:val="0"/>
        <w:adjustRightInd w:val="0"/>
        <w:spacing w:line="500" w:lineRule="exact"/>
        <w:ind w:firstLine="700" w:firstLineChars="25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四、财政拨款收入支出决算总体情况说明</w:t>
      </w:r>
    </w:p>
    <w:p w14:paraId="39D1AD3A">
      <w:pPr>
        <w:autoSpaceDE w:val="0"/>
        <w:autoSpaceDN w:val="0"/>
        <w:adjustRightInd w:val="0"/>
        <w:spacing w:line="500" w:lineRule="exact"/>
        <w:ind w:firstLine="700" w:firstLineChars="25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五、一般公共预算财政拨款支出决算情况说明</w:t>
      </w:r>
    </w:p>
    <w:p w14:paraId="7BEA949B">
      <w:pPr>
        <w:autoSpaceDE w:val="0"/>
        <w:autoSpaceDN w:val="0"/>
        <w:adjustRightInd w:val="0"/>
        <w:spacing w:line="500" w:lineRule="exact"/>
        <w:ind w:firstLine="700" w:firstLineChars="25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六、一般公共预算财政拨款基本支出决算情况说明</w:t>
      </w:r>
    </w:p>
    <w:p w14:paraId="219E458E">
      <w:pPr>
        <w:autoSpaceDE w:val="0"/>
        <w:autoSpaceDN w:val="0"/>
        <w:adjustRightInd w:val="0"/>
        <w:spacing w:line="480" w:lineRule="exact"/>
        <w:ind w:firstLine="700" w:firstLineChars="25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七、政府性基金预算收入支出决算情况</w:t>
      </w:r>
    </w:p>
    <w:p w14:paraId="0BF1880F">
      <w:pPr>
        <w:autoSpaceDE w:val="0"/>
        <w:autoSpaceDN w:val="0"/>
        <w:adjustRightInd w:val="0"/>
        <w:spacing w:line="480" w:lineRule="exact"/>
        <w:ind w:firstLine="700" w:firstLineChars="25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八、</w:t>
      </w:r>
      <w:r>
        <w:rPr>
          <w:rFonts w:hint="eastAsia" w:ascii="仿宋_GB2312" w:hAnsi="仿宋_GB2312" w:eastAsia="仿宋_GB2312" w:cs="仿宋_GB2312"/>
          <w:color w:val="000000" w:themeColor="text1"/>
          <w:sz w:val="28"/>
          <w:szCs w:val="28"/>
          <w14:textFill>
            <w14:solidFill>
              <w14:schemeClr w14:val="tx1"/>
            </w14:solidFill>
          </w14:textFill>
        </w:rPr>
        <w:t>国有资本经营预算财政拨款支出决算情况</w:t>
      </w:r>
    </w:p>
    <w:p w14:paraId="68261376">
      <w:pPr>
        <w:autoSpaceDE w:val="0"/>
        <w:autoSpaceDN w:val="0"/>
        <w:adjustRightInd w:val="0"/>
        <w:spacing w:line="480" w:lineRule="exact"/>
        <w:ind w:firstLine="700" w:firstLineChars="25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九、财政拨款三公经费支出决算情况说明</w:t>
      </w:r>
    </w:p>
    <w:p w14:paraId="557020D5">
      <w:pPr>
        <w:autoSpaceDE w:val="0"/>
        <w:autoSpaceDN w:val="0"/>
        <w:adjustRightInd w:val="0"/>
        <w:spacing w:line="480" w:lineRule="exact"/>
        <w:ind w:firstLine="700" w:firstLineChars="25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十、关于机关运行经费支出说明</w:t>
      </w:r>
    </w:p>
    <w:p w14:paraId="5DD06C3F">
      <w:pPr>
        <w:autoSpaceDE w:val="0"/>
        <w:autoSpaceDN w:val="0"/>
        <w:adjustRightInd w:val="0"/>
        <w:spacing w:line="480" w:lineRule="exact"/>
        <w:ind w:firstLine="700" w:firstLineChars="25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十一、一般性支出情况说明</w:t>
      </w:r>
    </w:p>
    <w:p w14:paraId="3049C831">
      <w:pPr>
        <w:autoSpaceDE w:val="0"/>
        <w:autoSpaceDN w:val="0"/>
        <w:adjustRightInd w:val="0"/>
        <w:spacing w:line="480" w:lineRule="exact"/>
        <w:ind w:firstLine="700" w:firstLineChars="25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十二、</w:t>
      </w:r>
      <w:r>
        <w:rPr>
          <w:rFonts w:hint="eastAsia" w:ascii="仿宋_GB2312" w:hAnsi="仿宋_GB2312" w:eastAsia="仿宋_GB2312" w:cs="仿宋_GB2312"/>
          <w:color w:val="000000" w:themeColor="text1"/>
          <w:kern w:val="0"/>
          <w:sz w:val="28"/>
          <w:szCs w:val="28"/>
          <w14:textFill>
            <w14:solidFill>
              <w14:schemeClr w14:val="tx1"/>
            </w14:solidFill>
          </w14:textFill>
        </w:rPr>
        <w:t>关于政府采购支出说明</w:t>
      </w:r>
    </w:p>
    <w:p w14:paraId="50ADA0D3">
      <w:pPr>
        <w:autoSpaceDE w:val="0"/>
        <w:autoSpaceDN w:val="0"/>
        <w:adjustRightInd w:val="0"/>
        <w:spacing w:line="480" w:lineRule="exact"/>
        <w:ind w:firstLine="700" w:firstLineChars="250"/>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十三、关于国有资产占用情况说明</w:t>
      </w:r>
    </w:p>
    <w:p w14:paraId="13AAF77B">
      <w:pPr>
        <w:pStyle w:val="15"/>
        <w:spacing w:line="500" w:lineRule="exact"/>
        <w:ind w:firstLine="700" w:firstLineChars="25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十四、关于</w:t>
      </w:r>
      <w:r>
        <w:rPr>
          <w:rFonts w:ascii="Times New Roman" w:hAnsi="Times New Roman" w:eastAsia="仿宋_GB2312" w:cs="Times New Roman"/>
          <w:color w:val="000000" w:themeColor="text1"/>
          <w:sz w:val="28"/>
          <w:szCs w:val="28"/>
          <w14:textFill>
            <w14:solidFill>
              <w14:schemeClr w14:val="tx1"/>
            </w14:solidFill>
          </w14:textFill>
        </w:rPr>
        <w:t>202</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14:textFill>
            <w14:solidFill>
              <w14:schemeClr w14:val="tx1"/>
            </w14:solidFill>
          </w14:textFill>
        </w:rPr>
        <w:t>年度预算绩效情况的说明</w:t>
      </w:r>
    </w:p>
    <w:p w14:paraId="4791AC3F">
      <w:pPr>
        <w:pStyle w:val="15"/>
        <w:spacing w:line="500" w:lineRule="exact"/>
        <w:rPr>
          <w:rFonts w:hint="eastAsia" w:hAnsi="黑体"/>
          <w:bCs/>
          <w:color w:val="000000" w:themeColor="text1"/>
          <w:sz w:val="28"/>
          <w:szCs w:val="28"/>
          <w14:textFill>
            <w14:solidFill>
              <w14:schemeClr w14:val="tx1"/>
            </w14:solidFill>
          </w14:textFill>
        </w:rPr>
      </w:pPr>
      <w:r>
        <w:rPr>
          <w:rFonts w:hint="eastAsia" w:hAnsi="黑体"/>
          <w:bCs/>
          <w:color w:val="000000" w:themeColor="text1"/>
          <w:sz w:val="28"/>
          <w:szCs w:val="28"/>
          <w14:textFill>
            <w14:solidFill>
              <w14:schemeClr w14:val="tx1"/>
            </w14:solidFill>
          </w14:textFill>
        </w:rPr>
        <w:t>第四部分 名词解释</w:t>
      </w:r>
    </w:p>
    <w:p w14:paraId="23C8CB39">
      <w:pPr>
        <w:pStyle w:val="15"/>
        <w:spacing w:line="500" w:lineRule="exact"/>
        <w:rPr>
          <w:rFonts w:hint="eastAsia" w:hAnsi="黑体"/>
          <w:bCs/>
          <w:color w:val="000000" w:themeColor="text1"/>
          <w:sz w:val="28"/>
          <w:szCs w:val="28"/>
          <w14:textFill>
            <w14:solidFill>
              <w14:schemeClr w14:val="tx1"/>
            </w14:solidFill>
          </w14:textFill>
        </w:rPr>
      </w:pPr>
      <w:r>
        <w:rPr>
          <w:rFonts w:hint="eastAsia" w:hAnsi="黑体"/>
          <w:bCs/>
          <w:color w:val="000000" w:themeColor="text1"/>
          <w:sz w:val="28"/>
          <w:szCs w:val="28"/>
          <w14:textFill>
            <w14:solidFill>
              <w14:schemeClr w14:val="tx1"/>
            </w14:solidFill>
          </w14:textFill>
        </w:rPr>
        <w:t>第五部分 附件</w:t>
      </w:r>
    </w:p>
    <w:p w14:paraId="79831885">
      <w:pPr>
        <w:pStyle w:val="15"/>
        <w:jc w:val="center"/>
        <w:rPr>
          <w:rFonts w:hint="eastAsia" w:ascii="方正小标宋_GBK" w:hAnsi="方正小标宋_GBK" w:eastAsia="方正小标宋_GBK" w:cs="方正小标宋_GBK"/>
          <w:color w:val="000000" w:themeColor="text1"/>
          <w:sz w:val="84"/>
          <w:szCs w:val="84"/>
          <w14:textFill>
            <w14:solidFill>
              <w14:schemeClr w14:val="tx1"/>
            </w14:solidFill>
          </w14:textFill>
        </w:rPr>
      </w:pPr>
      <w:r>
        <w:rPr>
          <w:rFonts w:hint="eastAsia" w:ascii="方正小标宋_GBK" w:hAnsi="方正小标宋_GBK" w:eastAsia="方正小标宋_GBK" w:cs="方正小标宋_GBK"/>
          <w:color w:val="000000" w:themeColor="text1"/>
          <w:sz w:val="84"/>
          <w:szCs w:val="84"/>
          <w14:textFill>
            <w14:solidFill>
              <w14:schemeClr w14:val="tx1"/>
            </w14:solidFill>
          </w14:textFill>
        </w:rPr>
        <w:t xml:space="preserve">第一部分 </w:t>
      </w:r>
    </w:p>
    <w:p w14:paraId="15CA1778">
      <w:pPr>
        <w:pStyle w:val="15"/>
        <w:jc w:val="center"/>
        <w:rPr>
          <w:rFonts w:hint="eastAsia" w:ascii="方正小标宋_GBK" w:hAnsi="方正小标宋_GBK" w:eastAsia="方正小标宋_GBK" w:cs="方正小标宋_GBK"/>
          <w:color w:val="000000" w:themeColor="text1"/>
          <w:sz w:val="84"/>
          <w:szCs w:val="84"/>
          <w14:textFill>
            <w14:solidFill>
              <w14:schemeClr w14:val="tx1"/>
            </w14:solidFill>
          </w14:textFill>
        </w:rPr>
      </w:pPr>
    </w:p>
    <w:p w14:paraId="4985B782">
      <w:pPr>
        <w:jc w:val="center"/>
        <w:rPr>
          <w:rFonts w:hint="eastAsia" w:ascii="方正小标宋_GBK" w:hAnsi="方正小标宋_GBK" w:eastAsia="方正小标宋_GBK" w:cs="方正小标宋_GBK"/>
          <w:color w:val="000000" w:themeColor="text1"/>
          <w:sz w:val="84"/>
          <w:szCs w:val="84"/>
          <w14:textFill>
            <w14:solidFill>
              <w14:schemeClr w14:val="tx1"/>
            </w14:solidFill>
          </w14:textFill>
        </w:rPr>
      </w:pPr>
      <w:r>
        <w:rPr>
          <w:rFonts w:hint="eastAsia" w:ascii="方正小标宋_GBK" w:hAnsi="方正小标宋_GBK" w:eastAsia="方正小标宋_GBK" w:cs="方正小标宋_GBK"/>
          <w:color w:val="000000" w:themeColor="text1"/>
          <w:sz w:val="84"/>
          <w:szCs w:val="84"/>
          <w14:textFill>
            <w14:solidFill>
              <w14:schemeClr w14:val="tx1"/>
            </w14:solidFill>
          </w14:textFill>
        </w:rPr>
        <w:t>岳阳市城市管理综合行政执法支队概况</w:t>
      </w:r>
    </w:p>
    <w:p w14:paraId="113CFC0B">
      <w:pPr>
        <w:pStyle w:val="16"/>
        <w:numPr>
          <w:ilvl w:val="0"/>
          <w:numId w:val="1"/>
        </w:numPr>
        <w:ind w:firstLineChars="0"/>
        <w:jc w:val="lef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部门职责</w:t>
      </w:r>
    </w:p>
    <w:p w14:paraId="00DEEA63">
      <w:pPr>
        <w:widowControl/>
        <w:spacing w:line="60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岳阳市城市管理综合行政</w:t>
      </w:r>
      <w:r>
        <w:rPr>
          <w:rFonts w:hint="eastAsia" w:ascii="仿宋_GB2312" w:hAnsi="仿宋_GB2312" w:eastAsia="仿宋_GB2312" w:cs="仿宋_GB2312"/>
          <w:color w:val="000000" w:themeColor="text1"/>
          <w:kern w:val="0"/>
          <w:sz w:val="32"/>
          <w:szCs w:val="32"/>
          <w14:textFill>
            <w14:solidFill>
              <w14:schemeClr w14:val="tx1"/>
            </w14:solidFill>
          </w14:textFill>
        </w:rPr>
        <w:t>执法支队以市城管局名义对外开展行政执法活动。在履职过程中，贯彻落实党中央关于城市管理综合行政执法工作的方针政策和省委、市委的决策部署，坚持和加强党对城市管理综合行政执法工作的集中统一领导，为促进政府治理体系和治理能力现代化提供有力支撑。主要职责是:</w:t>
      </w:r>
    </w:p>
    <w:p w14:paraId="1EC4E323">
      <w:pPr>
        <w:widowControl/>
        <w:spacing w:line="600" w:lineRule="exact"/>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贯彻执行国家、省、市和上级主管部门有关城市管理方面的法律、法规、规章和政策规定;参与拟订城市管理综合行政执法工作方面的规范性文件、总体规划和年度计划，并组织实施。</w:t>
      </w:r>
    </w:p>
    <w:p w14:paraId="4FF2B4BF">
      <w:pPr>
        <w:widowControl/>
        <w:spacing w:line="600" w:lineRule="exact"/>
        <w:ind w:firstLine="640" w:firstLineChars="200"/>
        <w:jc w:val="left"/>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承担市本级和市辖区范围内(含岳阳经济技术开发区和城陵矶新港区)的城市管理综合行政执法工作;协助市城管局对县(市)、南湖新区、屈原管理区城市管理综合行政执法队伍建设和综合行政执法开展指导、监督和考核工作。</w:t>
      </w:r>
    </w:p>
    <w:p w14:paraId="17A9A338">
      <w:pPr>
        <w:widowControl/>
        <w:spacing w:line="600" w:lineRule="exact"/>
        <w:ind w:firstLine="640" w:firstLineChars="200"/>
        <w:jc w:val="left"/>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3、承担权限范围内市政公用设施运行管理、市容环境卫生管理、园林绿化管理、城镇燃气管理等城市管理方面的行政处罚及相应的行政强制等行政执法工作。</w:t>
      </w:r>
    </w:p>
    <w:p w14:paraId="747227B1">
      <w:pPr>
        <w:widowControl/>
        <w:spacing w:line="600" w:lineRule="exact"/>
        <w:ind w:firstLine="640" w:firstLineChars="200"/>
        <w:jc w:val="left"/>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4、承担权限范围内住房和城乡建设领域法律、法规和规章规定的行政处罚及相应的行政强制等行政执法工作。</w:t>
      </w:r>
    </w:p>
    <w:p w14:paraId="10FBD9EC">
      <w:pPr>
        <w:widowControl/>
        <w:spacing w:line="600" w:lineRule="exact"/>
        <w:ind w:firstLine="640" w:firstLineChars="200"/>
        <w:jc w:val="left"/>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5、承担权限范围内向城市河道和水域倾倒废弃物和垃圾、违规取土、城市河道和水域违法建(构)筑物拆除等水利管理方面的行政处罚及相应的行政强制等行政执法工作。</w:t>
      </w:r>
    </w:p>
    <w:p w14:paraId="7503C201">
      <w:pPr>
        <w:widowControl/>
        <w:spacing w:line="600" w:lineRule="exact"/>
        <w:ind w:firstLine="640" w:firstLineChars="200"/>
        <w:jc w:val="left"/>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6、承担权限范围内社会生活噪声污染、建筑施工噪声污染、建筑施工扬尘污染、餐饮服务业油烟污染、露天烧烤污染、城市焚烧沥青塑料垃圾等烟尘和恶臭污染、燃放烟花爆竹污染等生态环境保护管理方面的行政处罚及相应的行政强制等行政执法工作。</w:t>
      </w:r>
    </w:p>
    <w:p w14:paraId="2B481E67">
      <w:pPr>
        <w:widowControl/>
        <w:spacing w:line="600" w:lineRule="exact"/>
        <w:ind w:firstLine="640" w:firstLineChars="200"/>
        <w:jc w:val="left"/>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7、承担权限范围内户外公共场所无照经营、食品销售和餐饮摊点无证经营，以及户外违法回收贩卖药品等市场监督管理方面的行政处罚及相应的行政强制等行政执法工作。</w:t>
      </w:r>
    </w:p>
    <w:p w14:paraId="189C035C">
      <w:pPr>
        <w:widowControl/>
        <w:spacing w:line="600" w:lineRule="exact"/>
        <w:ind w:firstLine="640" w:firstLineChars="200"/>
        <w:jc w:val="left"/>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8、承担权限范围内侵占城市道路、违法停放车辆等公安交通管理方面的行政处罚及相应的行政强制等行政执法工作。</w:t>
      </w:r>
    </w:p>
    <w:p w14:paraId="105B5644">
      <w:pPr>
        <w:widowControl/>
        <w:spacing w:line="600" w:lineRule="exact"/>
        <w:ind w:firstLine="640" w:firstLineChars="200"/>
        <w:jc w:val="left"/>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9、承担《湖南省人民政府关于调整岳阳火车站地区相对集中行政处罚权的批复》(湘政函〔2016〕22号)确定的行政处罚及相应的行政强制等行政执法工作。</w:t>
      </w:r>
    </w:p>
    <w:p w14:paraId="0FD9CBCA">
      <w:pPr>
        <w:widowControl/>
        <w:spacing w:line="600" w:lineRule="exact"/>
        <w:ind w:firstLine="640" w:firstLineChars="200"/>
        <w:jc w:val="left"/>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10、承担全市城市管理综合行政执法跨区域及重大复杂违法违规案件的查处工作;组织或参与跨行业、跨区域联合执法行动。</w:t>
      </w:r>
    </w:p>
    <w:p w14:paraId="453E42AB">
      <w:pPr>
        <w:widowControl/>
        <w:spacing w:line="600" w:lineRule="exact"/>
        <w:ind w:firstLine="640" w:firstLineChars="200"/>
        <w:jc w:val="left"/>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11、承担权限范围内“牛皮癣”的治理和清除;承担权限范围内“门前三包”及燃放烟花爆竹的指导、监督和考核工作。</w:t>
      </w:r>
    </w:p>
    <w:p w14:paraId="1556B1B0">
      <w:pPr>
        <w:widowControl/>
        <w:spacing w:line="600" w:lineRule="exact"/>
        <w:ind w:firstLine="640" w:firstLineChars="200"/>
        <w:jc w:val="left"/>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12、承担本单位的安全生产工作。</w:t>
      </w:r>
    </w:p>
    <w:p w14:paraId="4139D719">
      <w:pPr>
        <w:widowControl/>
        <w:spacing w:line="600" w:lineRule="exact"/>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13、完成市城管局交办的其他工作。</w:t>
      </w:r>
    </w:p>
    <w:p w14:paraId="3563F87A">
      <w:pPr>
        <w:widowControl/>
        <w:spacing w:line="60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p>
    <w:p w14:paraId="5E0265C3">
      <w:pPr>
        <w:widowControl/>
        <w:spacing w:line="600" w:lineRule="exact"/>
        <w:ind w:firstLine="640" w:firstLineChars="200"/>
        <w:rPr>
          <w:rFonts w:hint="eastAsia" w:ascii="黑体" w:hAnsi="黑体" w:eastAsia="黑体" w:cs="黑体"/>
          <w:bCs/>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二、机构设置及决算单位构成</w:t>
      </w:r>
    </w:p>
    <w:p w14:paraId="57123C69">
      <w:pPr>
        <w:widowControl/>
        <w:spacing w:line="600" w:lineRule="exact"/>
        <w:ind w:firstLine="676" w:firstLineChars="200"/>
        <w:rPr>
          <w:rFonts w:hint="eastAsia" w:ascii="黑体" w:hAnsi="黑体" w:eastAsia="黑体" w:cs="黑体"/>
          <w:bCs/>
          <w:color w:val="auto"/>
          <w:kern w:val="0"/>
          <w:sz w:val="32"/>
          <w:szCs w:val="32"/>
        </w:rPr>
      </w:pPr>
      <w:r>
        <w:rPr>
          <w:rFonts w:hint="eastAsia" w:ascii="仿宋_GB2312" w:hAnsi="仿宋_GB2312" w:eastAsia="仿宋_GB2312" w:cs="仿宋_GB2312"/>
          <w:color w:val="auto"/>
          <w:spacing w:val="9"/>
          <w:kern w:val="0"/>
          <w:sz w:val="32"/>
          <w:szCs w:val="32"/>
        </w:rPr>
        <w:t>市城管综合执法支队为市城管局</w:t>
      </w:r>
      <w:r>
        <w:rPr>
          <w:rFonts w:hint="eastAsia" w:ascii="仿宋_GB2312" w:hAnsi="仿宋_GB2312" w:eastAsia="仿宋_GB2312" w:cs="仿宋_GB2312"/>
          <w:color w:val="auto"/>
          <w:spacing w:val="9"/>
          <w:kern w:val="0"/>
          <w:sz w:val="32"/>
          <w:szCs w:val="32"/>
          <w:lang w:eastAsia="zh-CN"/>
        </w:rPr>
        <w:t>管理的副处级综合行政执法队伍</w:t>
      </w:r>
      <w:r>
        <w:rPr>
          <w:rFonts w:hint="eastAsia" w:ascii="仿宋_GB2312" w:hAnsi="仿宋_GB2312" w:eastAsia="仿宋_GB2312" w:cs="仿宋_GB2312"/>
          <w:color w:val="auto"/>
          <w:spacing w:val="9"/>
          <w:kern w:val="0"/>
          <w:sz w:val="32"/>
          <w:szCs w:val="32"/>
        </w:rPr>
        <w:t>，核定编制</w:t>
      </w:r>
      <w:r>
        <w:rPr>
          <w:rFonts w:hint="eastAsia" w:ascii="仿宋_GB2312" w:hAnsi="仿宋_GB2312" w:eastAsia="仿宋_GB2312" w:cs="仿宋_GB2312"/>
          <w:color w:val="auto"/>
          <w:spacing w:val="9"/>
          <w:kern w:val="0"/>
          <w:sz w:val="32"/>
          <w:szCs w:val="32"/>
          <w:lang w:val="en-US" w:eastAsia="zh-CN"/>
        </w:rPr>
        <w:t>316名</w:t>
      </w:r>
      <w:r>
        <w:rPr>
          <w:rFonts w:hint="eastAsia" w:ascii="仿宋_GB2312" w:hAnsi="仿宋_GB2312" w:eastAsia="仿宋_GB2312" w:cs="仿宋_GB2312"/>
          <w:color w:val="auto"/>
          <w:spacing w:val="9"/>
          <w:kern w:val="0"/>
          <w:sz w:val="32"/>
          <w:szCs w:val="32"/>
        </w:rPr>
        <w:t>。支队长1名，党委专职副书记1名，副支队长4名;</w:t>
      </w:r>
      <w:r>
        <w:rPr>
          <w:rFonts w:hint="eastAsia" w:ascii="仿宋_GB2312" w:hAnsi="仿宋_GB2312" w:eastAsia="仿宋_GB2312" w:cs="仿宋_GB2312"/>
          <w:color w:val="auto"/>
          <w:spacing w:val="9"/>
          <w:kern w:val="0"/>
          <w:sz w:val="32"/>
          <w:szCs w:val="32"/>
          <w:lang w:eastAsia="zh-CN"/>
        </w:rPr>
        <w:t>纪委书记</w:t>
      </w:r>
      <w:r>
        <w:rPr>
          <w:rFonts w:hint="eastAsia" w:ascii="仿宋_GB2312" w:hAnsi="仿宋_GB2312" w:eastAsia="仿宋_GB2312" w:cs="仿宋_GB2312"/>
          <w:color w:val="auto"/>
          <w:spacing w:val="9"/>
          <w:kern w:val="0"/>
          <w:sz w:val="32"/>
          <w:szCs w:val="32"/>
          <w:lang w:val="en-US" w:eastAsia="zh-CN"/>
        </w:rPr>
        <w:t>1名，</w:t>
      </w:r>
      <w:r>
        <w:rPr>
          <w:rFonts w:hint="eastAsia" w:ascii="仿宋_GB2312" w:hAnsi="仿宋_GB2312" w:eastAsia="仿宋_GB2312" w:cs="仿宋_GB2312"/>
          <w:color w:val="auto"/>
          <w:spacing w:val="9"/>
          <w:kern w:val="0"/>
          <w:sz w:val="32"/>
          <w:szCs w:val="32"/>
        </w:rPr>
        <w:t>内设机构副科级领导职数7名（含党委办公室主任</w:t>
      </w:r>
      <w:r>
        <w:rPr>
          <w:rFonts w:hint="eastAsia" w:ascii="仿宋_GB2312" w:hAnsi="仿宋_GB2312" w:eastAsia="仿宋_GB2312" w:cs="仿宋_GB2312"/>
          <w:color w:val="auto"/>
          <w:spacing w:val="9"/>
          <w:kern w:val="0"/>
          <w:sz w:val="32"/>
          <w:szCs w:val="32"/>
          <w:lang w:val="en-US" w:eastAsia="zh-CN"/>
        </w:rPr>
        <w:t>1名</w:t>
      </w:r>
      <w:r>
        <w:rPr>
          <w:rFonts w:hint="eastAsia" w:ascii="仿宋_GB2312" w:hAnsi="仿宋_GB2312" w:eastAsia="仿宋_GB2312" w:cs="仿宋_GB2312"/>
          <w:color w:val="auto"/>
          <w:spacing w:val="9"/>
          <w:kern w:val="0"/>
          <w:sz w:val="32"/>
          <w:szCs w:val="32"/>
        </w:rPr>
        <w:t>、退休人员管理科科长1名）;</w:t>
      </w:r>
      <w:r>
        <w:rPr>
          <w:rFonts w:hint="eastAsia" w:ascii="仿宋_GB2312" w:hAnsi="仿宋_GB2312" w:eastAsia="仿宋_GB2312" w:cs="仿宋_GB2312"/>
          <w:color w:val="auto"/>
          <w:spacing w:val="9"/>
          <w:kern w:val="0"/>
          <w:sz w:val="32"/>
          <w:szCs w:val="32"/>
          <w:lang w:eastAsia="zh-CN"/>
        </w:rPr>
        <w:t>大队</w:t>
      </w:r>
      <w:r>
        <w:rPr>
          <w:rFonts w:hint="eastAsia" w:ascii="仿宋_GB2312" w:hAnsi="仿宋_GB2312" w:eastAsia="仿宋_GB2312" w:cs="仿宋_GB2312"/>
          <w:color w:val="auto"/>
          <w:spacing w:val="9"/>
          <w:kern w:val="0"/>
          <w:sz w:val="32"/>
          <w:szCs w:val="32"/>
        </w:rPr>
        <w:t>副科级领导职数</w:t>
      </w:r>
      <w:r>
        <w:rPr>
          <w:rFonts w:hint="eastAsia" w:ascii="仿宋_GB2312" w:hAnsi="仿宋_GB2312" w:eastAsia="仿宋_GB2312" w:cs="仿宋_GB2312"/>
          <w:color w:val="auto"/>
          <w:spacing w:val="9"/>
          <w:kern w:val="0"/>
          <w:sz w:val="32"/>
          <w:szCs w:val="32"/>
          <w:lang w:val="en-US" w:eastAsia="zh-CN"/>
        </w:rPr>
        <w:t>6</w:t>
      </w:r>
      <w:r>
        <w:rPr>
          <w:rFonts w:hint="eastAsia" w:ascii="仿宋_GB2312" w:hAnsi="仿宋_GB2312" w:eastAsia="仿宋_GB2312" w:cs="仿宋_GB2312"/>
          <w:color w:val="auto"/>
          <w:spacing w:val="9"/>
          <w:kern w:val="0"/>
          <w:sz w:val="32"/>
          <w:szCs w:val="32"/>
        </w:rPr>
        <w:t>名。</w:t>
      </w:r>
    </w:p>
    <w:p w14:paraId="1DC49E88">
      <w:pPr>
        <w:widowControl/>
        <w:numPr>
          <w:ilvl w:val="0"/>
          <w:numId w:val="2"/>
        </w:numPr>
        <w:spacing w:line="600" w:lineRule="exact"/>
        <w:rPr>
          <w:rFonts w:hint="eastAsia" w:ascii="Times New Roman" w:hAnsi="Times New Roman" w:eastAsia="仿宋_GB2312" w:cs="仿宋_GB2312"/>
          <w:bCs/>
          <w:color w:val="000000" w:themeColor="text1"/>
          <w:kern w:val="0"/>
          <w:sz w:val="32"/>
          <w:szCs w:val="32"/>
          <w14:textFill>
            <w14:solidFill>
              <w14:schemeClr w14:val="tx1"/>
            </w14:solidFill>
          </w14:textFill>
        </w:rPr>
      </w:pPr>
      <w:r>
        <w:rPr>
          <w:rFonts w:hint="eastAsia" w:ascii="Times New Roman" w:hAnsi="Times New Roman" w:eastAsia="仿宋_GB2312" w:cs="仿宋_GB2312"/>
          <w:bCs/>
          <w:color w:val="000000" w:themeColor="text1"/>
          <w:kern w:val="0"/>
          <w:sz w:val="32"/>
          <w:szCs w:val="32"/>
          <w14:textFill>
            <w14:solidFill>
              <w14:schemeClr w14:val="tx1"/>
            </w14:solidFill>
          </w14:textFill>
        </w:rPr>
        <w:t>内设机构设置。</w:t>
      </w:r>
    </w:p>
    <w:p w14:paraId="57247F13">
      <w:pPr>
        <w:widowControl/>
        <w:numPr>
          <w:ilvl w:val="0"/>
          <w:numId w:val="3"/>
        </w:numPr>
        <w:spacing w:line="600" w:lineRule="exact"/>
        <w:ind w:firstLine="640" w:firstLineChars="200"/>
        <w:rPr>
          <w:rFonts w:hint="eastAsia" w:ascii="仿宋_GB2312" w:hAnsi="仿宋_GB2312" w:eastAsia="仿宋_GB2312" w:cs="仿宋_GB2312"/>
          <w:color w:val="000000" w:themeColor="text1"/>
          <w:spacing w:val="9"/>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岳阳市城市管理综合行政执法支队内设机构包括：</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综合科</w:t>
      </w:r>
      <w:r>
        <w:rPr>
          <w:rFonts w:hint="eastAsia" w:ascii="仿宋_GB2312" w:hAnsi="仿宋_GB2312" w:eastAsia="仿宋_GB2312" w:cs="仿宋_GB2312"/>
          <w:color w:val="000000" w:themeColor="text1"/>
          <w:spacing w:val="9"/>
          <w:kern w:val="0"/>
          <w:sz w:val="32"/>
          <w:szCs w:val="32"/>
          <w14:textFill>
            <w14:solidFill>
              <w14:schemeClr w14:val="tx1"/>
            </w14:solidFill>
          </w14:textFill>
        </w:rPr>
        <w:t>、人事科、财务科、法规科、</w:t>
      </w:r>
      <w:r>
        <w:rPr>
          <w:rFonts w:hint="eastAsia" w:ascii="仿宋_GB2312" w:hAnsi="仿宋_GB2312" w:eastAsia="仿宋_GB2312" w:cs="仿宋_GB2312"/>
          <w:color w:val="000000" w:themeColor="text1"/>
          <w:spacing w:val="9"/>
          <w:kern w:val="0"/>
          <w:sz w:val="32"/>
          <w:szCs w:val="32"/>
          <w:lang w:eastAsia="zh-CN"/>
          <w14:textFill>
            <w14:solidFill>
              <w14:schemeClr w14:val="tx1"/>
            </w14:solidFill>
          </w14:textFill>
        </w:rPr>
        <w:t>执法协调</w:t>
      </w:r>
      <w:r>
        <w:rPr>
          <w:rFonts w:hint="eastAsia" w:ascii="仿宋_GB2312" w:hAnsi="仿宋_GB2312" w:eastAsia="仿宋_GB2312" w:cs="仿宋_GB2312"/>
          <w:color w:val="000000" w:themeColor="text1"/>
          <w:spacing w:val="9"/>
          <w:kern w:val="0"/>
          <w:sz w:val="32"/>
          <w:szCs w:val="32"/>
          <w14:textFill>
            <w14:solidFill>
              <w14:schemeClr w14:val="tx1"/>
            </w14:solidFill>
          </w14:textFill>
        </w:rPr>
        <w:t>科。党委办公室按章程设置,退休人员管理服务科按</w:t>
      </w:r>
      <w:r>
        <w:rPr>
          <w:rFonts w:hint="eastAsia" w:ascii="仿宋_GB2312" w:hAnsi="仿宋_GB2312" w:eastAsia="仿宋_GB2312" w:cs="仿宋_GB2312"/>
          <w:color w:val="000000" w:themeColor="text1"/>
          <w:spacing w:val="9"/>
          <w:kern w:val="0"/>
          <w:sz w:val="32"/>
          <w:szCs w:val="32"/>
          <w:lang w:eastAsia="zh-CN"/>
          <w14:textFill>
            <w14:solidFill>
              <w14:schemeClr w14:val="tx1"/>
            </w14:solidFill>
          </w14:textFill>
        </w:rPr>
        <w:t>相关</w:t>
      </w:r>
      <w:r>
        <w:rPr>
          <w:rFonts w:hint="eastAsia" w:ascii="仿宋_GB2312" w:hAnsi="仿宋_GB2312" w:eastAsia="仿宋_GB2312" w:cs="仿宋_GB2312"/>
          <w:color w:val="000000" w:themeColor="text1"/>
          <w:spacing w:val="9"/>
          <w:kern w:val="0"/>
          <w:sz w:val="32"/>
          <w:szCs w:val="32"/>
          <w14:textFill>
            <w14:solidFill>
              <w14:schemeClr w14:val="tx1"/>
            </w14:solidFill>
          </w14:textFill>
        </w:rPr>
        <w:t>规定设置。</w:t>
      </w:r>
    </w:p>
    <w:p w14:paraId="6F61FB74">
      <w:pPr>
        <w:widowControl/>
        <w:numPr>
          <w:ilvl w:val="0"/>
          <w:numId w:val="3"/>
        </w:numPr>
        <w:spacing w:line="600" w:lineRule="exact"/>
        <w:ind w:firstLine="676" w:firstLineChars="200"/>
        <w:rPr>
          <w:rFonts w:ascii="Times New Roman" w:hAnsi="Times New Roman"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9"/>
          <w:kern w:val="0"/>
          <w:sz w:val="32"/>
          <w:szCs w:val="32"/>
          <w:lang w:val="en-US" w:eastAsia="zh-CN"/>
          <w14:textFill>
            <w14:solidFill>
              <w14:schemeClr w14:val="tx1"/>
            </w14:solidFill>
          </w14:textFill>
        </w:rPr>
        <w:t>市城管综合执法支队设下列8个大队：市城市管理综合行政执法支队岳阳楼一大队、二大队、三大队、四大队、市城市管理综合行政执法支队云溪大队、市城市管理综合行政执法支队君山大队、住房建设执法大队、站场执法大队。</w:t>
      </w:r>
    </w:p>
    <w:p w14:paraId="461352FF">
      <w:pPr>
        <w:widowControl/>
        <w:spacing w:line="600" w:lineRule="exact"/>
        <w:rPr>
          <w:rFonts w:ascii="Times New Roman" w:hAnsi="Times New Roman" w:eastAsia="仿宋_GB2312" w:cs="仿宋_GB2312"/>
          <w:bCs/>
          <w:color w:val="000000" w:themeColor="text1"/>
          <w:kern w:val="0"/>
          <w:sz w:val="32"/>
          <w:szCs w:val="32"/>
          <w14:textFill>
            <w14:solidFill>
              <w14:schemeClr w14:val="tx1"/>
            </w14:solidFill>
          </w14:textFill>
        </w:rPr>
      </w:pPr>
      <w:r>
        <w:rPr>
          <w:rFonts w:hint="eastAsia" w:ascii="Times New Roman" w:hAnsi="Times New Roman" w:eastAsia="仿宋_GB2312" w:cs="仿宋_GB2312"/>
          <w:bCs/>
          <w:color w:val="000000" w:themeColor="text1"/>
          <w:kern w:val="0"/>
          <w:sz w:val="32"/>
          <w:szCs w:val="32"/>
          <w14:textFill>
            <w14:solidFill>
              <w14:schemeClr w14:val="tx1"/>
            </w14:solidFill>
          </w14:textFill>
        </w:rPr>
        <w:t>（二）决算单位构成。本</w:t>
      </w:r>
      <w:r>
        <w:rPr>
          <w:rFonts w:hint="eastAsia" w:ascii="仿宋_GB2312" w:hAnsi="仿宋_GB2312" w:eastAsia="仿宋_GB2312" w:cs="仿宋_GB2312"/>
          <w:bCs/>
          <w:color w:val="000000" w:themeColor="text1"/>
          <w:kern w:val="0"/>
          <w:sz w:val="32"/>
          <w:szCs w:val="32"/>
          <w14:textFill>
            <w14:solidFill>
              <w14:schemeClr w14:val="tx1"/>
            </w14:solidFill>
          </w14:textFill>
        </w:rPr>
        <w:t>单位</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有一家</w:t>
      </w:r>
      <w:r>
        <w:rPr>
          <w:rFonts w:hint="eastAsia" w:ascii="仿宋_GB2312" w:hAnsi="仿宋_GB2312" w:eastAsia="仿宋_GB2312" w:cs="仿宋_GB2312"/>
          <w:bCs/>
          <w:color w:val="000000" w:themeColor="text1"/>
          <w:kern w:val="0"/>
          <w:sz w:val="32"/>
          <w:szCs w:val="32"/>
          <w14:textFill>
            <w14:solidFill>
              <w14:schemeClr w14:val="tx1"/>
            </w14:solidFill>
          </w14:textFill>
        </w:rPr>
        <w:t>独立核算的下属单位</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站场执法大队</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kern w:val="0"/>
          <w:sz w:val="32"/>
          <w:szCs w:val="32"/>
          <w14:textFill>
            <w14:solidFill>
              <w14:schemeClr w14:val="tx1"/>
            </w14:solidFill>
          </w14:textFill>
        </w:rPr>
        <w:t>，纳入202</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4</w:t>
      </w:r>
      <w:r>
        <w:rPr>
          <w:rFonts w:hint="eastAsia" w:ascii="仿宋_GB2312" w:hAnsi="仿宋_GB2312" w:eastAsia="仿宋_GB2312" w:cs="仿宋_GB2312"/>
          <w:bCs/>
          <w:color w:val="000000" w:themeColor="text1"/>
          <w:kern w:val="0"/>
          <w:sz w:val="32"/>
          <w:szCs w:val="32"/>
          <w14:textFill>
            <w14:solidFill>
              <w14:schemeClr w14:val="tx1"/>
            </w14:solidFill>
          </w14:textFill>
        </w:rPr>
        <w:t>年部门决算汇总公开的只有岳阳市城市管理综合行政执法支队本级决算。</w:t>
      </w:r>
    </w:p>
    <w:p w14:paraId="740EB819">
      <w:pPr>
        <w:rPr>
          <w:color w:val="000000" w:themeColor="text1"/>
          <w14:textFill>
            <w14:solidFill>
              <w14:schemeClr w14:val="tx1"/>
            </w14:solidFill>
          </w14:textFill>
        </w:rPr>
      </w:pPr>
    </w:p>
    <w:p w14:paraId="6BF69611">
      <w:pPr>
        <w:pStyle w:val="9"/>
        <w:rPr>
          <w:color w:val="000000" w:themeColor="text1"/>
          <w14:textFill>
            <w14:solidFill>
              <w14:schemeClr w14:val="tx1"/>
            </w14:solidFill>
          </w14:textFill>
        </w:rPr>
      </w:pPr>
    </w:p>
    <w:p w14:paraId="5EEA875B">
      <w:pPr>
        <w:pStyle w:val="5"/>
        <w:ind w:firstLine="480"/>
        <w:rPr>
          <w:rFonts w:hint="eastAsia"/>
          <w:color w:val="000000" w:themeColor="text1"/>
          <w14:textFill>
            <w14:solidFill>
              <w14:schemeClr w14:val="tx1"/>
            </w14:solidFill>
          </w14:textFill>
        </w:rPr>
      </w:pPr>
    </w:p>
    <w:p w14:paraId="393D7E73">
      <w:pPr>
        <w:rPr>
          <w:color w:val="000000" w:themeColor="text1"/>
          <w14:textFill>
            <w14:solidFill>
              <w14:schemeClr w14:val="tx1"/>
            </w14:solidFill>
          </w14:textFill>
        </w:rPr>
      </w:pPr>
    </w:p>
    <w:p w14:paraId="4AAA611D">
      <w:pPr>
        <w:pStyle w:val="9"/>
        <w:rPr>
          <w:color w:val="000000" w:themeColor="text1"/>
          <w14:textFill>
            <w14:solidFill>
              <w14:schemeClr w14:val="tx1"/>
            </w14:solidFill>
          </w14:textFill>
        </w:rPr>
      </w:pPr>
    </w:p>
    <w:p w14:paraId="40FFFE4F">
      <w:pPr>
        <w:rPr>
          <w:color w:val="000000" w:themeColor="text1"/>
          <w14:textFill>
            <w14:solidFill>
              <w14:schemeClr w14:val="tx1"/>
            </w14:solidFill>
          </w14:textFill>
        </w:rPr>
      </w:pPr>
    </w:p>
    <w:p w14:paraId="2E2E5CAB">
      <w:pPr>
        <w:pStyle w:val="9"/>
        <w:rPr>
          <w:color w:val="000000" w:themeColor="text1"/>
          <w14:textFill>
            <w14:solidFill>
              <w14:schemeClr w14:val="tx1"/>
            </w14:solidFill>
          </w14:textFill>
        </w:rPr>
      </w:pPr>
    </w:p>
    <w:p w14:paraId="1E156ACA">
      <w:pPr>
        <w:pStyle w:val="5"/>
        <w:ind w:firstLine="480"/>
        <w:rPr>
          <w:rFonts w:hint="eastAsia"/>
          <w:color w:val="000000" w:themeColor="text1"/>
          <w14:textFill>
            <w14:solidFill>
              <w14:schemeClr w14:val="tx1"/>
            </w14:solidFill>
          </w14:textFill>
        </w:rPr>
      </w:pPr>
    </w:p>
    <w:p w14:paraId="0A7F9917">
      <w:pPr>
        <w:rPr>
          <w:color w:val="000000" w:themeColor="text1"/>
          <w14:textFill>
            <w14:solidFill>
              <w14:schemeClr w14:val="tx1"/>
            </w14:solidFill>
          </w14:textFill>
        </w:rPr>
      </w:pPr>
    </w:p>
    <w:p w14:paraId="68F35355">
      <w:pPr>
        <w:pStyle w:val="9"/>
        <w:rPr>
          <w:color w:val="000000" w:themeColor="text1"/>
          <w14:textFill>
            <w14:solidFill>
              <w14:schemeClr w14:val="tx1"/>
            </w14:solidFill>
          </w14:textFill>
        </w:rPr>
      </w:pPr>
    </w:p>
    <w:p w14:paraId="5073BAF5">
      <w:pPr>
        <w:pStyle w:val="15"/>
        <w:jc w:val="center"/>
        <w:rPr>
          <w:rFonts w:hint="eastAsia" w:ascii="方正小标宋_GBK" w:hAnsi="方正小标宋_GBK" w:eastAsia="方正小标宋_GBK" w:cs="方正小标宋_GBK"/>
          <w:color w:val="000000" w:themeColor="text1"/>
          <w:sz w:val="84"/>
          <w:szCs w:val="84"/>
          <w14:textFill>
            <w14:solidFill>
              <w14:schemeClr w14:val="tx1"/>
            </w14:solidFill>
          </w14:textFill>
        </w:rPr>
      </w:pPr>
    </w:p>
    <w:p w14:paraId="3DC6BAD4">
      <w:pPr>
        <w:pStyle w:val="15"/>
        <w:jc w:val="both"/>
        <w:rPr>
          <w:rFonts w:hint="eastAsia" w:ascii="方正小标宋_GBK" w:hAnsi="方正小标宋_GBK" w:eastAsia="方正小标宋_GBK" w:cs="方正小标宋_GBK"/>
          <w:color w:val="000000" w:themeColor="text1"/>
          <w:sz w:val="84"/>
          <w:szCs w:val="84"/>
          <w14:textFill>
            <w14:solidFill>
              <w14:schemeClr w14:val="tx1"/>
            </w14:solidFill>
          </w14:textFill>
        </w:rPr>
      </w:pPr>
    </w:p>
    <w:p w14:paraId="36FE50A5">
      <w:pPr>
        <w:pStyle w:val="15"/>
        <w:ind w:firstLine="3360" w:firstLineChars="400"/>
        <w:jc w:val="both"/>
        <w:rPr>
          <w:rFonts w:hint="eastAsia" w:ascii="方正小标宋_GBK" w:hAnsi="方正小标宋_GBK" w:eastAsia="方正小标宋_GBK" w:cs="方正小标宋_GBK"/>
          <w:color w:val="000000" w:themeColor="text1"/>
          <w:sz w:val="84"/>
          <w:szCs w:val="84"/>
          <w14:textFill>
            <w14:solidFill>
              <w14:schemeClr w14:val="tx1"/>
            </w14:solidFill>
          </w14:textFill>
        </w:rPr>
      </w:pPr>
      <w:r>
        <w:rPr>
          <w:rFonts w:hint="eastAsia" w:ascii="方正小标宋_GBK" w:hAnsi="方正小标宋_GBK" w:eastAsia="方正小标宋_GBK" w:cs="方正小标宋_GBK"/>
          <w:color w:val="000000" w:themeColor="text1"/>
          <w:sz w:val="84"/>
          <w:szCs w:val="84"/>
          <w14:textFill>
            <w14:solidFill>
              <w14:schemeClr w14:val="tx1"/>
            </w14:solidFill>
          </w14:textFill>
        </w:rPr>
        <w:t>第二部分</w:t>
      </w:r>
    </w:p>
    <w:p w14:paraId="0528BAE6">
      <w:pPr>
        <w:pStyle w:val="15"/>
        <w:jc w:val="center"/>
        <w:rPr>
          <w:rFonts w:hint="eastAsia" w:ascii="方正小标宋_GBK" w:hAnsi="方正小标宋_GBK" w:eastAsia="方正小标宋_GBK" w:cs="方正小标宋_GBK"/>
          <w:color w:val="000000" w:themeColor="text1"/>
          <w:sz w:val="84"/>
          <w:szCs w:val="84"/>
          <w14:textFill>
            <w14:solidFill>
              <w14:schemeClr w14:val="tx1"/>
            </w14:solidFill>
          </w14:textFill>
        </w:rPr>
      </w:pPr>
    </w:p>
    <w:p w14:paraId="2F0FEECA">
      <w:pPr>
        <w:pStyle w:val="15"/>
        <w:jc w:val="center"/>
        <w:rPr>
          <w:rFonts w:hint="eastAsia" w:ascii="方正小标宋_GBK" w:hAnsi="方正小标宋_GBK" w:eastAsia="方正小标宋_GBK" w:cs="方正小标宋_GBK"/>
          <w:color w:val="000000" w:themeColor="text1"/>
          <w:sz w:val="84"/>
          <w:szCs w:val="84"/>
          <w14:textFill>
            <w14:solidFill>
              <w14:schemeClr w14:val="tx1"/>
            </w14:solidFill>
          </w14:textFill>
        </w:rPr>
      </w:pPr>
      <w:r>
        <w:rPr>
          <w:rFonts w:hint="eastAsia" w:ascii="方正小标宋_GBK" w:hAnsi="方正小标宋_GBK" w:eastAsia="方正小标宋_GBK" w:cs="方正小标宋_GBK"/>
          <w:color w:val="000000" w:themeColor="text1"/>
          <w:sz w:val="84"/>
          <w:szCs w:val="84"/>
          <w14:textFill>
            <w14:solidFill>
              <w14:schemeClr w14:val="tx1"/>
            </w14:solidFill>
          </w14:textFill>
        </w:rPr>
        <w:t>部门决算表</w:t>
      </w:r>
    </w:p>
    <w:p w14:paraId="25274E3D">
      <w:pPr>
        <w:pStyle w:val="15"/>
        <w:jc w:val="center"/>
        <w:rPr>
          <w:rFonts w:hint="eastAsia" w:ascii="仿宋_GB2312" w:hAnsi="仿宋_GB2312" w:eastAsia="仿宋_GB2312" w:cs="仿宋_GB2312"/>
          <w:color w:val="000000" w:themeColor="text1"/>
          <w:sz w:val="72"/>
          <w:szCs w:val="72"/>
          <w14:textFill>
            <w14:solidFill>
              <w14:schemeClr w14:val="tx1"/>
            </w14:solidFill>
          </w14:textFill>
        </w:rPr>
      </w:pPr>
      <w:r>
        <w:rPr>
          <w:rFonts w:hint="eastAsia" w:ascii="仿宋_GB2312" w:hAnsi="仿宋_GB2312" w:eastAsia="仿宋_GB2312" w:cs="仿宋_GB2312"/>
          <w:color w:val="000000" w:themeColor="text1"/>
          <w:sz w:val="72"/>
          <w:szCs w:val="72"/>
          <w14:textFill>
            <w14:solidFill>
              <w14:schemeClr w14:val="tx1"/>
            </w14:solidFill>
          </w14:textFill>
        </w:rPr>
        <w:t>（见附件）</w:t>
      </w:r>
    </w:p>
    <w:p w14:paraId="66B2E3F3">
      <w:pPr>
        <w:pStyle w:val="15"/>
        <w:jc w:val="center"/>
        <w:rPr>
          <w:rFonts w:hint="eastAsia" w:ascii="仿宋_GB2312" w:hAnsi="仿宋_GB2312" w:eastAsia="仿宋_GB2312" w:cs="仿宋_GB2312"/>
          <w:color w:val="000000" w:themeColor="text1"/>
          <w:sz w:val="72"/>
          <w:szCs w:val="72"/>
          <w14:textFill>
            <w14:solidFill>
              <w14:schemeClr w14:val="tx1"/>
            </w14:solidFill>
          </w14:textFill>
        </w:rPr>
      </w:pPr>
    </w:p>
    <w:p w14:paraId="2823E0F5">
      <w:pPr>
        <w:pStyle w:val="15"/>
        <w:jc w:val="both"/>
        <w:rPr>
          <w:rFonts w:hint="eastAsia" w:ascii="方正小标宋_GBK" w:hAnsi="方正小标宋_GBK" w:eastAsia="方正小标宋_GBK" w:cs="方正小标宋_GBK"/>
          <w:color w:val="000000" w:themeColor="text1"/>
          <w:sz w:val="72"/>
          <w:szCs w:val="72"/>
          <w14:textFill>
            <w14:solidFill>
              <w14:schemeClr w14:val="tx1"/>
            </w14:solidFill>
          </w14:textFill>
        </w:rPr>
      </w:pPr>
    </w:p>
    <w:p w14:paraId="4062742E">
      <w:pPr>
        <w:pStyle w:val="15"/>
        <w:jc w:val="center"/>
        <w:rPr>
          <w:rFonts w:hint="eastAsia" w:ascii="方正小标宋_GBK" w:hAnsi="方正小标宋_GBK" w:eastAsia="方正小标宋_GBK" w:cs="方正小标宋_GBK"/>
          <w:color w:val="000000" w:themeColor="text1"/>
          <w:sz w:val="72"/>
          <w:szCs w:val="72"/>
          <w14:textFill>
            <w14:solidFill>
              <w14:schemeClr w14:val="tx1"/>
            </w14:solidFill>
          </w14:textFill>
        </w:rPr>
      </w:pPr>
    </w:p>
    <w:p w14:paraId="5E2839E7">
      <w:pPr>
        <w:pStyle w:val="15"/>
        <w:jc w:val="center"/>
        <w:rPr>
          <w:rFonts w:hint="eastAsia" w:ascii="方正小标宋_GBK" w:hAnsi="方正小标宋_GBK" w:eastAsia="方正小标宋_GBK" w:cs="方正小标宋_GBK"/>
          <w:color w:val="000000" w:themeColor="text1"/>
          <w:sz w:val="72"/>
          <w:szCs w:val="72"/>
          <w14:textFill>
            <w14:solidFill>
              <w14:schemeClr w14:val="tx1"/>
            </w14:solidFill>
          </w14:textFill>
        </w:rPr>
      </w:pPr>
    </w:p>
    <w:p w14:paraId="57A8C31F">
      <w:pPr>
        <w:pStyle w:val="15"/>
        <w:jc w:val="center"/>
        <w:rPr>
          <w:rFonts w:hint="eastAsia" w:ascii="方正小标宋_GBK" w:hAnsi="方正小标宋_GBK" w:eastAsia="方正小标宋_GBK" w:cs="方正小标宋_GBK"/>
          <w:color w:val="000000" w:themeColor="text1"/>
          <w:sz w:val="72"/>
          <w:szCs w:val="72"/>
          <w14:textFill>
            <w14:solidFill>
              <w14:schemeClr w14:val="tx1"/>
            </w14:solidFill>
          </w14:textFill>
        </w:rPr>
      </w:pPr>
    </w:p>
    <w:p w14:paraId="6BCA77F2">
      <w:pPr>
        <w:pStyle w:val="15"/>
        <w:jc w:val="center"/>
        <w:rPr>
          <w:rFonts w:hint="eastAsia" w:ascii="方正小标宋_GBK" w:hAnsi="方正小标宋_GBK" w:eastAsia="方正小标宋_GBK" w:cs="方正小标宋_GBK"/>
          <w:color w:val="000000" w:themeColor="text1"/>
          <w:sz w:val="72"/>
          <w:szCs w:val="72"/>
          <w14:textFill>
            <w14:solidFill>
              <w14:schemeClr w14:val="tx1"/>
            </w14:solidFill>
          </w14:textFill>
        </w:rPr>
      </w:pPr>
    </w:p>
    <w:p w14:paraId="5A7D4C64">
      <w:pPr>
        <w:pStyle w:val="15"/>
        <w:jc w:val="center"/>
        <w:rPr>
          <w:rFonts w:hint="eastAsia" w:ascii="方正小标宋_GBK" w:hAnsi="方正小标宋_GBK" w:eastAsia="方正小标宋_GBK" w:cs="方正小标宋_GBK"/>
          <w:color w:val="000000" w:themeColor="text1"/>
          <w:sz w:val="72"/>
          <w:szCs w:val="72"/>
          <w14:textFill>
            <w14:solidFill>
              <w14:schemeClr w14:val="tx1"/>
            </w14:solidFill>
          </w14:textFill>
        </w:rPr>
      </w:pPr>
      <w:r>
        <w:rPr>
          <w:rFonts w:hint="eastAsia" w:ascii="方正小标宋_GBK" w:hAnsi="方正小标宋_GBK" w:eastAsia="方正小标宋_GBK" w:cs="方正小标宋_GBK"/>
          <w:color w:val="000000" w:themeColor="text1"/>
          <w:sz w:val="72"/>
          <w:szCs w:val="72"/>
          <w14:textFill>
            <w14:solidFill>
              <w14:schemeClr w14:val="tx1"/>
            </w14:solidFill>
          </w14:textFill>
        </w:rPr>
        <w:t>第三部分</w:t>
      </w:r>
    </w:p>
    <w:p w14:paraId="6E7AA888">
      <w:pPr>
        <w:pStyle w:val="15"/>
        <w:jc w:val="center"/>
        <w:rPr>
          <w:rFonts w:hint="eastAsia" w:ascii="方正小标宋_GBK" w:hAnsi="方正小标宋_GBK" w:eastAsia="方正小标宋_GBK" w:cs="方正小标宋_GBK"/>
          <w:color w:val="000000" w:themeColor="text1"/>
          <w:sz w:val="70"/>
          <w:szCs w:val="70"/>
          <w14:textFill>
            <w14:solidFill>
              <w14:schemeClr w14:val="tx1"/>
            </w14:solidFill>
          </w14:textFill>
        </w:rPr>
      </w:pPr>
    </w:p>
    <w:p w14:paraId="04FD0AF5">
      <w:pPr>
        <w:pStyle w:val="15"/>
        <w:jc w:val="center"/>
        <w:rPr>
          <w:rFonts w:hint="eastAsia" w:ascii="方正小标宋_GBK" w:hAnsi="方正小标宋_GBK" w:eastAsia="方正小标宋_GBK" w:cs="方正小标宋_GBK"/>
          <w:color w:val="000000" w:themeColor="text1"/>
          <w:sz w:val="70"/>
          <w:szCs w:val="70"/>
          <w14:textFill>
            <w14:solidFill>
              <w14:schemeClr w14:val="tx1"/>
            </w14:solidFill>
          </w14:textFill>
        </w:rPr>
      </w:pPr>
      <w:r>
        <w:rPr>
          <w:rFonts w:hint="eastAsia" w:ascii="方正小标宋_GBK" w:hAnsi="方正小标宋_GBK" w:eastAsia="方正小标宋_GBK" w:cs="方正小标宋_GBK"/>
          <w:color w:val="000000" w:themeColor="text1"/>
          <w:sz w:val="70"/>
          <w:szCs w:val="70"/>
          <w14:textFill>
            <w14:solidFill>
              <w14:schemeClr w14:val="tx1"/>
            </w14:solidFill>
          </w14:textFill>
        </w:rPr>
        <w:t>202</w:t>
      </w:r>
      <w:r>
        <w:rPr>
          <w:rFonts w:hint="eastAsia" w:ascii="方正小标宋_GBK" w:hAnsi="方正小标宋_GBK" w:eastAsia="方正小标宋_GBK" w:cs="方正小标宋_GBK"/>
          <w:color w:val="000000" w:themeColor="text1"/>
          <w:sz w:val="70"/>
          <w:szCs w:val="70"/>
          <w:lang w:val="en-US" w:eastAsia="zh-CN"/>
          <w14:textFill>
            <w14:solidFill>
              <w14:schemeClr w14:val="tx1"/>
            </w14:solidFill>
          </w14:textFill>
        </w:rPr>
        <w:t>4</w:t>
      </w:r>
      <w:r>
        <w:rPr>
          <w:rFonts w:hint="eastAsia" w:ascii="方正小标宋_GBK" w:hAnsi="方正小标宋_GBK" w:eastAsia="方正小标宋_GBK" w:cs="方正小标宋_GBK"/>
          <w:color w:val="000000" w:themeColor="text1"/>
          <w:sz w:val="70"/>
          <w:szCs w:val="70"/>
          <w14:textFill>
            <w14:solidFill>
              <w14:schemeClr w14:val="tx1"/>
            </w14:solidFill>
          </w14:textFill>
        </w:rPr>
        <w:t>年度部门决算情况说明</w:t>
      </w:r>
    </w:p>
    <w:p w14:paraId="20E6CD6D">
      <w:pPr>
        <w:pStyle w:val="15"/>
        <w:jc w:val="both"/>
        <w:rPr>
          <w:rFonts w:hint="eastAsia" w:ascii="方正小标宋_GBK" w:hAnsi="方正小标宋_GBK" w:eastAsia="方正小标宋_GBK" w:cs="方正小标宋_GBK"/>
          <w:color w:val="000000" w:themeColor="text1"/>
          <w:sz w:val="70"/>
          <w:szCs w:val="70"/>
          <w14:textFill>
            <w14:solidFill>
              <w14:schemeClr w14:val="tx1"/>
            </w14:solidFill>
          </w14:textFill>
        </w:rPr>
      </w:pPr>
    </w:p>
    <w:p w14:paraId="32913899">
      <w:pPr>
        <w:widowControl/>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说明：1、由于部门决算编制时数据明细至“金额单位：元”，而本套部门决算文字说明和公开表格数据取数转换为“金额单位：万元”，可能导致以下文字说明中的各项数据取数以及公开表格中的各项数据取数之间存在0.01的尾数差异。2、以下文字说明中，部分科目由于预算数为0，无法计算完成年初预算的百分比，故未描述“完成年初预算的XX%”。）</w:t>
      </w:r>
    </w:p>
    <w:p w14:paraId="7A77ABFE">
      <w:pPr>
        <w:pStyle w:val="15"/>
        <w:spacing w:line="600" w:lineRule="exact"/>
        <w:ind w:firstLine="640" w:firstLineChars="200"/>
        <w:rPr>
          <w:rFonts w:hint="eastAsia" w:hAnsi="黑体"/>
          <w:bCs/>
          <w:color w:val="000000" w:themeColor="text1"/>
          <w:sz w:val="32"/>
          <w:szCs w:val="32"/>
          <w14:textFill>
            <w14:solidFill>
              <w14:schemeClr w14:val="tx1"/>
            </w14:solidFill>
          </w14:textFill>
        </w:rPr>
      </w:pPr>
      <w:r>
        <w:rPr>
          <w:rFonts w:hint="eastAsia" w:hAnsi="黑体"/>
          <w:bCs/>
          <w:color w:val="000000" w:themeColor="text1"/>
          <w:sz w:val="32"/>
          <w:szCs w:val="32"/>
          <w14:textFill>
            <w14:solidFill>
              <w14:schemeClr w14:val="tx1"/>
            </w14:solidFill>
          </w14:textFill>
        </w:rPr>
        <w:t>一、收入支出决算总体情况说明</w:t>
      </w:r>
    </w:p>
    <w:p w14:paraId="56150535">
      <w:pPr>
        <w:pStyle w:val="15"/>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年度收、支总计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1946.64</w:t>
      </w:r>
      <w:r>
        <w:rPr>
          <w:rFonts w:hint="eastAsia" w:ascii="仿宋_GB2312" w:hAnsi="仿宋_GB2312" w:eastAsia="仿宋_GB2312" w:cs="仿宋_GB2312"/>
          <w:color w:val="000000" w:themeColor="text1"/>
          <w:sz w:val="32"/>
          <w:szCs w:val="32"/>
          <w14:textFill>
            <w14:solidFill>
              <w14:schemeClr w14:val="tx1"/>
            </w14:solidFill>
          </w14:textFill>
        </w:rPr>
        <w:t>万元。与上年相比，减少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42.31</w:t>
      </w:r>
      <w:r>
        <w:rPr>
          <w:rFonts w:hint="eastAsia" w:ascii="仿宋_GB2312" w:hAnsi="仿宋_GB2312" w:eastAsia="仿宋_GB2312" w:cs="仿宋_GB2312"/>
          <w:color w:val="000000" w:themeColor="text1"/>
          <w:sz w:val="32"/>
          <w:szCs w:val="32"/>
          <w14:textFill>
            <w14:solidFill>
              <w14:schemeClr w14:val="tx1"/>
            </w14:solidFill>
          </w14:textFill>
        </w:rPr>
        <w:t>万元，减少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2.13</w:t>
      </w:r>
      <w:r>
        <w:rPr>
          <w:rFonts w:hint="eastAsia" w:ascii="仿宋_GB2312" w:hAnsi="仿宋_GB2312" w:eastAsia="仿宋_GB2312" w:cs="仿宋_GB2312"/>
          <w:color w:val="000000" w:themeColor="text1"/>
          <w:sz w:val="32"/>
          <w:szCs w:val="32"/>
          <w14:textFill>
            <w14:solidFill>
              <w14:schemeClr w14:val="tx1"/>
            </w14:solidFill>
          </w14:textFill>
        </w:rPr>
        <w:t>%，主要是因为人员减少及财政提前关账，部分费用未按时支付。</w:t>
      </w:r>
    </w:p>
    <w:p w14:paraId="0872F3C5">
      <w:pPr>
        <w:pStyle w:val="15"/>
        <w:spacing w:line="600" w:lineRule="exact"/>
        <w:ind w:firstLine="640" w:firstLineChars="200"/>
        <w:rPr>
          <w:rFonts w:hint="eastAsia" w:hAnsi="黑体"/>
          <w:bCs/>
          <w:color w:val="000000" w:themeColor="text1"/>
          <w:sz w:val="32"/>
          <w:szCs w:val="32"/>
          <w14:textFill>
            <w14:solidFill>
              <w14:schemeClr w14:val="tx1"/>
            </w14:solidFill>
          </w14:textFill>
        </w:rPr>
      </w:pPr>
      <w:r>
        <w:rPr>
          <w:rFonts w:hint="eastAsia" w:hAnsi="黑体"/>
          <w:bCs/>
          <w:color w:val="000000" w:themeColor="text1"/>
          <w:sz w:val="32"/>
          <w:szCs w:val="32"/>
          <w14:textFill>
            <w14:solidFill>
              <w14:schemeClr w14:val="tx1"/>
            </w14:solidFill>
          </w14:textFill>
        </w:rPr>
        <w:t>二、收入决算情况说明</w:t>
      </w:r>
    </w:p>
    <w:p w14:paraId="0422F7CF">
      <w:pPr>
        <w:pStyle w:val="15"/>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年度收入合计19</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46.35</w:t>
      </w:r>
      <w:r>
        <w:rPr>
          <w:rFonts w:hint="eastAsia" w:ascii="仿宋_GB2312" w:hAnsi="仿宋_GB2312" w:eastAsia="仿宋_GB2312" w:cs="仿宋_GB2312"/>
          <w:color w:val="000000" w:themeColor="text1"/>
          <w:sz w:val="32"/>
          <w:szCs w:val="32"/>
          <w14:textFill>
            <w14:solidFill>
              <w14:schemeClr w14:val="tx1"/>
            </w14:solidFill>
          </w14:textFill>
        </w:rPr>
        <w:t>万元，其中：财政拨款收入19</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45.63</w:t>
      </w:r>
      <w:r>
        <w:rPr>
          <w:rFonts w:hint="eastAsia" w:ascii="仿宋_GB2312" w:hAnsi="仿宋_GB2312" w:eastAsia="仿宋_GB2312" w:cs="仿宋_GB2312"/>
          <w:color w:val="000000" w:themeColor="text1"/>
          <w:sz w:val="32"/>
          <w:szCs w:val="32"/>
          <w14:textFill>
            <w14:solidFill>
              <w14:schemeClr w14:val="tx1"/>
            </w14:solidFill>
          </w14:textFill>
        </w:rPr>
        <w:t>万元，占99.</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96</w:t>
      </w:r>
      <w:r>
        <w:rPr>
          <w:rFonts w:hint="eastAsia" w:ascii="仿宋_GB2312" w:hAnsi="仿宋_GB2312" w:eastAsia="仿宋_GB2312" w:cs="仿宋_GB2312"/>
          <w:color w:val="000000" w:themeColor="text1"/>
          <w:sz w:val="32"/>
          <w:szCs w:val="32"/>
          <w14:textFill>
            <w14:solidFill>
              <w14:schemeClr w14:val="tx1"/>
            </w14:solidFill>
          </w14:textFill>
        </w:rPr>
        <w:t>%；上级补助收入0万元，占0%；事业收入0万元，占0%；经营收入0万元，占0%；附属单位上缴收入0万元，占0%；其他收入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0.72</w:t>
      </w:r>
      <w:r>
        <w:rPr>
          <w:rFonts w:hint="eastAsia" w:ascii="仿宋_GB2312" w:hAnsi="仿宋_GB2312" w:eastAsia="仿宋_GB2312" w:cs="仿宋_GB2312"/>
          <w:color w:val="000000" w:themeColor="text1"/>
          <w:sz w:val="32"/>
          <w:szCs w:val="32"/>
          <w14:textFill>
            <w14:solidFill>
              <w14:schemeClr w14:val="tx1"/>
            </w14:solidFill>
          </w14:textFill>
        </w:rPr>
        <w:t>万元，占0.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04</w:t>
      </w:r>
      <w:r>
        <w:rPr>
          <w:rFonts w:hint="eastAsia" w:ascii="仿宋_GB2312" w:hAnsi="仿宋_GB2312" w:eastAsia="仿宋_GB2312" w:cs="仿宋_GB2312"/>
          <w:color w:val="000000" w:themeColor="text1"/>
          <w:sz w:val="32"/>
          <w:szCs w:val="32"/>
          <w14:textFill>
            <w14:solidFill>
              <w14:schemeClr w14:val="tx1"/>
            </w14:solidFill>
          </w14:textFill>
        </w:rPr>
        <w:t>%。</w:t>
      </w:r>
    </w:p>
    <w:p w14:paraId="6D0641E2">
      <w:pPr>
        <w:pStyle w:val="15"/>
        <w:spacing w:line="600" w:lineRule="exact"/>
        <w:ind w:firstLine="640" w:firstLineChars="200"/>
        <w:rPr>
          <w:rFonts w:hint="eastAsia" w:hAnsi="黑体"/>
          <w:bCs/>
          <w:color w:val="000000" w:themeColor="text1"/>
          <w:sz w:val="32"/>
          <w:szCs w:val="32"/>
          <w14:textFill>
            <w14:solidFill>
              <w14:schemeClr w14:val="tx1"/>
            </w14:solidFill>
          </w14:textFill>
        </w:rPr>
      </w:pPr>
      <w:r>
        <w:rPr>
          <w:rFonts w:hint="eastAsia" w:hAnsi="黑体"/>
          <w:bCs/>
          <w:color w:val="000000" w:themeColor="text1"/>
          <w:sz w:val="32"/>
          <w:szCs w:val="32"/>
          <w14:textFill>
            <w14:solidFill>
              <w14:schemeClr w14:val="tx1"/>
            </w14:solidFill>
          </w14:textFill>
        </w:rPr>
        <w:t>三、支出决算情况说明</w:t>
      </w:r>
    </w:p>
    <w:p w14:paraId="458219D1">
      <w:pPr>
        <w:pStyle w:val="15"/>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年度支出合计19</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46.64</w:t>
      </w:r>
      <w:r>
        <w:rPr>
          <w:rFonts w:hint="eastAsia" w:ascii="仿宋_GB2312" w:hAnsi="仿宋_GB2312" w:eastAsia="仿宋_GB2312" w:cs="仿宋_GB2312"/>
          <w:color w:val="000000" w:themeColor="text1"/>
          <w:sz w:val="32"/>
          <w:szCs w:val="32"/>
          <w14:textFill>
            <w14:solidFill>
              <w14:schemeClr w14:val="tx1"/>
            </w14:solidFill>
          </w14:textFill>
        </w:rPr>
        <w:t>万元，其中：基本支出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1674.32</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86.01</w:t>
      </w:r>
      <w:r>
        <w:rPr>
          <w:rFonts w:hint="eastAsia" w:ascii="仿宋_GB2312" w:hAnsi="仿宋_GB2312" w:eastAsia="仿宋_GB2312" w:cs="仿宋_GB2312"/>
          <w:color w:val="000000" w:themeColor="text1"/>
          <w:sz w:val="32"/>
          <w:szCs w:val="32"/>
          <w14:textFill>
            <w14:solidFill>
              <w14:schemeClr w14:val="tx1"/>
            </w14:solidFill>
          </w14:textFill>
        </w:rPr>
        <w:t>%；项目支出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272.32</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13.99</w:t>
      </w:r>
      <w:r>
        <w:rPr>
          <w:rFonts w:hint="eastAsia" w:ascii="仿宋_GB2312" w:hAnsi="仿宋_GB2312" w:eastAsia="仿宋_GB2312" w:cs="仿宋_GB2312"/>
          <w:color w:val="000000" w:themeColor="text1"/>
          <w:sz w:val="32"/>
          <w:szCs w:val="32"/>
          <w14:textFill>
            <w14:solidFill>
              <w14:schemeClr w14:val="tx1"/>
            </w14:solidFill>
          </w14:textFill>
        </w:rPr>
        <w:t>%；上缴上级支出0万元，占0%；经营支出0万元，占0%；对附属单位补助支出0万元，占0%。</w:t>
      </w:r>
    </w:p>
    <w:p w14:paraId="651706F2">
      <w:pPr>
        <w:pStyle w:val="15"/>
        <w:spacing w:line="600" w:lineRule="exact"/>
        <w:ind w:firstLine="640" w:firstLineChars="200"/>
        <w:rPr>
          <w:rFonts w:hint="eastAsia" w:hAnsi="黑体"/>
          <w:bCs/>
          <w:color w:val="000000" w:themeColor="text1"/>
          <w:sz w:val="32"/>
          <w:szCs w:val="32"/>
          <w14:textFill>
            <w14:solidFill>
              <w14:schemeClr w14:val="tx1"/>
            </w14:solidFill>
          </w14:textFill>
        </w:rPr>
      </w:pPr>
      <w:r>
        <w:rPr>
          <w:rFonts w:hint="eastAsia" w:hAnsi="黑体"/>
          <w:bCs/>
          <w:color w:val="000000" w:themeColor="text1"/>
          <w:sz w:val="32"/>
          <w:szCs w:val="32"/>
          <w14:textFill>
            <w14:solidFill>
              <w14:schemeClr w14:val="tx1"/>
            </w14:solidFill>
          </w14:textFill>
        </w:rPr>
        <w:t>四、财政拨款收入支出决算总体情况说明</w:t>
      </w:r>
    </w:p>
    <w:p w14:paraId="53B801DD">
      <w:pPr>
        <w:pStyle w:val="15"/>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年度财政拨款收、支总计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1945.63</w:t>
      </w:r>
      <w:r>
        <w:rPr>
          <w:rFonts w:hint="eastAsia" w:ascii="仿宋_GB2312" w:hAnsi="仿宋_GB2312" w:eastAsia="仿宋_GB2312" w:cs="仿宋_GB2312"/>
          <w:color w:val="000000" w:themeColor="text1"/>
          <w:sz w:val="32"/>
          <w:szCs w:val="32"/>
          <w14:textFill>
            <w14:solidFill>
              <w14:schemeClr w14:val="tx1"/>
            </w14:solidFill>
          </w14:textFill>
        </w:rPr>
        <w:t>万元，与上年相比，减少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41.2</w:t>
      </w:r>
      <w:r>
        <w:rPr>
          <w:rFonts w:hint="eastAsia" w:ascii="仿宋_GB2312" w:hAnsi="仿宋_GB2312" w:eastAsia="仿宋_GB2312" w:cs="仿宋_GB2312"/>
          <w:color w:val="000000" w:themeColor="text1"/>
          <w:sz w:val="32"/>
          <w:szCs w:val="32"/>
          <w14:textFill>
            <w14:solidFill>
              <w14:schemeClr w14:val="tx1"/>
            </w14:solidFill>
          </w14:textFill>
        </w:rPr>
        <w:t>万元,减少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2.07</w:t>
      </w:r>
      <w:r>
        <w:rPr>
          <w:rFonts w:hint="eastAsia" w:ascii="仿宋_GB2312" w:hAnsi="仿宋_GB2312" w:eastAsia="仿宋_GB2312" w:cs="仿宋_GB2312"/>
          <w:color w:val="000000" w:themeColor="text1"/>
          <w:sz w:val="32"/>
          <w:szCs w:val="32"/>
          <w14:textFill>
            <w14:solidFill>
              <w14:schemeClr w14:val="tx1"/>
            </w14:solidFill>
          </w14:textFill>
        </w:rPr>
        <w:t>%，主要是因为人员减少及财政提前关账，部分费用未按时支付。</w:t>
      </w:r>
    </w:p>
    <w:p w14:paraId="5400D828">
      <w:pPr>
        <w:pStyle w:val="15"/>
        <w:spacing w:line="600" w:lineRule="exact"/>
        <w:ind w:firstLine="640" w:firstLineChars="200"/>
        <w:rPr>
          <w:rFonts w:hint="eastAsia" w:hAnsi="黑体"/>
          <w:bCs/>
          <w:color w:val="000000" w:themeColor="text1"/>
          <w:sz w:val="32"/>
          <w:szCs w:val="32"/>
          <w14:textFill>
            <w14:solidFill>
              <w14:schemeClr w14:val="tx1"/>
            </w14:solidFill>
          </w14:textFill>
        </w:rPr>
      </w:pPr>
      <w:r>
        <w:rPr>
          <w:rFonts w:hint="eastAsia" w:hAnsi="黑体"/>
          <w:bCs/>
          <w:color w:val="000000" w:themeColor="text1"/>
          <w:sz w:val="32"/>
          <w:szCs w:val="32"/>
          <w14:textFill>
            <w14:solidFill>
              <w14:schemeClr w14:val="tx1"/>
            </w14:solidFill>
          </w14:textFill>
        </w:rPr>
        <w:t>五、一般公共预算财政拨款支出决算情况说明</w:t>
      </w:r>
    </w:p>
    <w:p w14:paraId="2991837B">
      <w:pPr>
        <w:pStyle w:val="15"/>
        <w:spacing w:line="600" w:lineRule="exact"/>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（一）一般公共预算财政拨款支出决算总体情况</w:t>
      </w:r>
    </w:p>
    <w:p w14:paraId="0ABAA293">
      <w:pPr>
        <w:pStyle w:val="15"/>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年度财政拨款支出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1945.63</w:t>
      </w:r>
      <w:r>
        <w:rPr>
          <w:rFonts w:hint="eastAsia" w:ascii="仿宋_GB2312" w:hAnsi="仿宋_GB2312" w:eastAsia="仿宋_GB2312" w:cs="仿宋_GB2312"/>
          <w:color w:val="000000" w:themeColor="text1"/>
          <w:sz w:val="32"/>
          <w:szCs w:val="32"/>
          <w14:textFill>
            <w14:solidFill>
              <w14:schemeClr w14:val="tx1"/>
            </w14:solidFill>
          </w14:textFill>
        </w:rPr>
        <w:t>万元，占本年支出合计的99.89%，与上年相比，财政拨款支出减少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41.2</w:t>
      </w:r>
      <w:r>
        <w:rPr>
          <w:rFonts w:hint="eastAsia" w:ascii="仿宋_GB2312" w:hAnsi="仿宋_GB2312" w:eastAsia="仿宋_GB2312" w:cs="仿宋_GB2312"/>
          <w:color w:val="000000" w:themeColor="text1"/>
          <w:sz w:val="32"/>
          <w:szCs w:val="32"/>
          <w14:textFill>
            <w14:solidFill>
              <w14:schemeClr w14:val="tx1"/>
            </w14:solidFill>
          </w14:textFill>
        </w:rPr>
        <w:t>万元，减少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2.07</w:t>
      </w:r>
      <w:r>
        <w:rPr>
          <w:rFonts w:hint="eastAsia" w:ascii="仿宋_GB2312" w:hAnsi="仿宋_GB2312" w:eastAsia="仿宋_GB2312" w:cs="仿宋_GB2312"/>
          <w:color w:val="000000" w:themeColor="text1"/>
          <w:sz w:val="32"/>
          <w:szCs w:val="32"/>
          <w14:textFill>
            <w14:solidFill>
              <w14:schemeClr w14:val="tx1"/>
            </w14:solidFill>
          </w14:textFill>
        </w:rPr>
        <w:t>%，主要是因为人员减少及</w:t>
      </w:r>
      <w:bookmarkStart w:id="0" w:name="_Hlk177806571"/>
      <w:r>
        <w:rPr>
          <w:rFonts w:hint="eastAsia" w:ascii="仿宋_GB2312" w:hAnsi="仿宋_GB2312" w:eastAsia="仿宋_GB2312" w:cs="仿宋_GB2312"/>
          <w:color w:val="000000" w:themeColor="text1"/>
          <w:sz w:val="32"/>
          <w:szCs w:val="32"/>
          <w14:textFill>
            <w14:solidFill>
              <w14:schemeClr w14:val="tx1"/>
            </w14:solidFill>
          </w14:textFill>
        </w:rPr>
        <w:t>财政提前关账，部分费用未按时支付。</w:t>
      </w:r>
      <w:bookmarkEnd w:id="0"/>
    </w:p>
    <w:p w14:paraId="2F95FBFA">
      <w:pPr>
        <w:pStyle w:val="15"/>
        <w:spacing w:line="600" w:lineRule="exact"/>
        <w:ind w:firstLine="800" w:firstLineChars="25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（二）一般公共预算财政拨款支出决算结构情况</w:t>
      </w:r>
    </w:p>
    <w:p w14:paraId="2AC73AEC">
      <w:pPr>
        <w:pStyle w:val="15"/>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年度财政拨款支出19</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45.63</w:t>
      </w:r>
      <w:r>
        <w:rPr>
          <w:rFonts w:hint="eastAsia" w:ascii="仿宋_GB2312" w:hAnsi="仿宋_GB2312" w:eastAsia="仿宋_GB2312" w:cs="仿宋_GB2312"/>
          <w:color w:val="000000" w:themeColor="text1"/>
          <w:sz w:val="32"/>
          <w:szCs w:val="32"/>
          <w14:textFill>
            <w14:solidFill>
              <w14:schemeClr w14:val="tx1"/>
            </w14:solidFill>
          </w14:textFill>
        </w:rPr>
        <w:t>万元，主要用于以下方面：社会保障和就业支出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163.90</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8.42</w:t>
      </w:r>
      <w:r>
        <w:rPr>
          <w:rFonts w:hint="eastAsia" w:ascii="仿宋_GB2312" w:hAnsi="仿宋_GB2312" w:eastAsia="仿宋_GB2312" w:cs="仿宋_GB2312"/>
          <w:color w:val="000000" w:themeColor="text1"/>
          <w:sz w:val="32"/>
          <w:szCs w:val="32"/>
          <w14:textFill>
            <w14:solidFill>
              <w14:schemeClr w14:val="tx1"/>
            </w14:solidFill>
          </w14:textFill>
        </w:rPr>
        <w:t>%；卫生健康支出70.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w:t>
      </w:r>
      <w:r>
        <w:rPr>
          <w:rFonts w:hint="eastAsia" w:ascii="仿宋_GB2312" w:hAnsi="仿宋_GB2312" w:eastAsia="仿宋_GB2312" w:cs="仿宋_GB2312"/>
          <w:color w:val="000000" w:themeColor="text1"/>
          <w:sz w:val="32"/>
          <w:szCs w:val="32"/>
          <w14:textFill>
            <w14:solidFill>
              <w14:schemeClr w14:val="tx1"/>
            </w14:solidFill>
          </w14:textFill>
        </w:rPr>
        <w:t>万元，占3.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62</w:t>
      </w:r>
      <w:r>
        <w:rPr>
          <w:rFonts w:hint="eastAsia" w:ascii="仿宋_GB2312" w:hAnsi="仿宋_GB2312" w:eastAsia="仿宋_GB2312" w:cs="仿宋_GB2312"/>
          <w:color w:val="000000" w:themeColor="text1"/>
          <w:sz w:val="32"/>
          <w:szCs w:val="32"/>
          <w14:textFill>
            <w14:solidFill>
              <w14:schemeClr w14:val="tx1"/>
            </w14:solidFill>
          </w14:textFill>
        </w:rPr>
        <w:t>%;城乡社区支出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1623.66</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83.45</w:t>
      </w:r>
      <w:r>
        <w:rPr>
          <w:rFonts w:hint="eastAsia" w:ascii="仿宋_GB2312" w:hAnsi="仿宋_GB2312" w:eastAsia="仿宋_GB2312" w:cs="仿宋_GB2312"/>
          <w:color w:val="000000" w:themeColor="text1"/>
          <w:sz w:val="32"/>
          <w:szCs w:val="32"/>
          <w14:textFill>
            <w14:solidFill>
              <w14:schemeClr w14:val="tx1"/>
            </w14:solidFill>
          </w14:textFill>
        </w:rPr>
        <w:t>%；住房保障支出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87.71</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4.51</w:t>
      </w:r>
      <w:r>
        <w:rPr>
          <w:rFonts w:hint="eastAsia" w:ascii="仿宋_GB2312" w:hAnsi="仿宋_GB2312" w:eastAsia="仿宋_GB2312" w:cs="仿宋_GB2312"/>
          <w:color w:val="000000" w:themeColor="text1"/>
          <w:sz w:val="32"/>
          <w:szCs w:val="32"/>
          <w14:textFill>
            <w14:solidFill>
              <w14:schemeClr w14:val="tx1"/>
            </w14:solidFill>
          </w14:textFill>
        </w:rPr>
        <w:t>%。</w:t>
      </w:r>
    </w:p>
    <w:p w14:paraId="26ECD88B">
      <w:pPr>
        <w:pStyle w:val="15"/>
        <w:spacing w:line="600" w:lineRule="exact"/>
        <w:ind w:firstLine="800" w:firstLineChars="25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（三）一般公共预算财政拨款支出决算具体情况</w:t>
      </w:r>
    </w:p>
    <w:p w14:paraId="745F2997">
      <w:pPr>
        <w:pStyle w:val="15"/>
        <w:spacing w:line="600" w:lineRule="exact"/>
        <w:ind w:firstLine="800" w:firstLineChars="2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年度财政拨款支出年初预算数为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1744.16</w:t>
      </w:r>
      <w:r>
        <w:rPr>
          <w:rFonts w:hint="eastAsia" w:ascii="仿宋_GB2312" w:hAnsi="仿宋_GB2312" w:eastAsia="仿宋_GB2312" w:cs="仿宋_GB2312"/>
          <w:color w:val="000000" w:themeColor="text1"/>
          <w:sz w:val="32"/>
          <w:szCs w:val="32"/>
          <w14:textFill>
            <w14:solidFill>
              <w14:schemeClr w14:val="tx1"/>
            </w14:solidFill>
          </w14:textFill>
        </w:rPr>
        <w:t>万元，支出决算数为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1945.63</w:t>
      </w:r>
      <w:r>
        <w:rPr>
          <w:rFonts w:hint="eastAsia" w:ascii="仿宋_GB2312" w:hAnsi="仿宋_GB2312" w:eastAsia="仿宋_GB2312" w:cs="仿宋_GB2312"/>
          <w:color w:val="000000" w:themeColor="text1"/>
          <w:sz w:val="32"/>
          <w:szCs w:val="32"/>
          <w14:textFill>
            <w14:solidFill>
              <w14:schemeClr w14:val="tx1"/>
            </w14:solidFill>
          </w14:textFill>
        </w:rPr>
        <w:t>万元，完成年初预算的11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1.55</w:t>
      </w:r>
      <w:r>
        <w:rPr>
          <w:rFonts w:hint="eastAsia" w:ascii="仿宋_GB2312" w:hAnsi="仿宋_GB2312" w:eastAsia="仿宋_GB2312" w:cs="仿宋_GB2312"/>
          <w:color w:val="000000" w:themeColor="text1"/>
          <w:sz w:val="32"/>
          <w:szCs w:val="32"/>
          <w14:textFill>
            <w14:solidFill>
              <w14:schemeClr w14:val="tx1"/>
            </w14:solidFill>
          </w14:textFill>
        </w:rPr>
        <w:t>%，其中：</w:t>
      </w:r>
    </w:p>
    <w:p w14:paraId="59B0EAC9">
      <w:pPr>
        <w:pStyle w:val="15"/>
        <w:numPr>
          <w:ilvl w:val="0"/>
          <w:numId w:val="4"/>
        </w:numPr>
        <w:ind w:firstLine="800" w:firstLineChars="2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社会保障和就业支出（类）行政事业单位养老支出（款）机关事业单位基本养老保险缴费支出（项）。</w:t>
      </w:r>
    </w:p>
    <w:p w14:paraId="7AAD4E48">
      <w:pPr>
        <w:pStyle w:val="15"/>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121.81</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114.65</w:t>
      </w:r>
      <w:r>
        <w:rPr>
          <w:rFonts w:hint="eastAsia" w:ascii="仿宋_GB2312" w:hAnsi="仿宋_GB2312" w:eastAsia="仿宋_GB2312" w:cs="仿宋_GB2312"/>
          <w:color w:val="auto"/>
          <w:sz w:val="32"/>
          <w:szCs w:val="32"/>
        </w:rPr>
        <w:t>万元，</w:t>
      </w:r>
      <w:bookmarkStart w:id="1" w:name="_Hlk177805227"/>
      <w:bookmarkStart w:id="2" w:name="_Hlk177805361"/>
      <w:r>
        <w:rPr>
          <w:rFonts w:hint="eastAsia" w:ascii="仿宋_GB2312" w:hAnsi="仿宋_GB2312" w:eastAsia="仿宋_GB2312" w:cs="仿宋_GB2312"/>
          <w:color w:val="auto"/>
          <w:sz w:val="32"/>
          <w:szCs w:val="32"/>
        </w:rPr>
        <w:t>完成年初预算的</w:t>
      </w:r>
      <w:bookmarkStart w:id="3" w:name="_Hlk177805339"/>
      <w:r>
        <w:rPr>
          <w:rFonts w:hint="eastAsia" w:ascii="仿宋_GB2312" w:hAnsi="仿宋_GB2312" w:eastAsia="仿宋_GB2312" w:cs="仿宋_GB2312"/>
          <w:color w:val="auto"/>
          <w:sz w:val="32"/>
          <w:szCs w:val="32"/>
          <w:lang w:val="en-US" w:eastAsia="zh-CN"/>
        </w:rPr>
        <w:t>94.12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Cs/>
          <w:color w:val="auto"/>
          <w:sz w:val="32"/>
          <w:szCs w:val="32"/>
        </w:rPr>
        <w:t>决算数</w:t>
      </w:r>
      <w:r>
        <w:rPr>
          <w:rFonts w:hint="eastAsia" w:ascii="仿宋_GB2312" w:hAnsi="仿宋_GB2312" w:eastAsia="仿宋_GB2312" w:cs="仿宋_GB2312"/>
          <w:bCs/>
          <w:color w:val="auto"/>
          <w:sz w:val="32"/>
          <w:szCs w:val="32"/>
          <w:lang w:eastAsia="zh-CN"/>
        </w:rPr>
        <w:t>小于</w:t>
      </w:r>
      <w:r>
        <w:rPr>
          <w:rFonts w:hint="eastAsia" w:ascii="仿宋_GB2312" w:hAnsi="仿宋_GB2312" w:eastAsia="仿宋_GB2312" w:cs="仿宋_GB2312"/>
          <w:bCs/>
          <w:color w:val="auto"/>
          <w:sz w:val="32"/>
          <w:szCs w:val="32"/>
        </w:rPr>
        <w:t>预算数，主要原因是我单位</w:t>
      </w:r>
      <w:bookmarkEnd w:id="1"/>
      <w:bookmarkEnd w:id="3"/>
      <w:r>
        <w:rPr>
          <w:rFonts w:hint="eastAsia" w:ascii="仿宋_GB2312" w:hAnsi="仿宋_GB2312" w:eastAsia="仿宋_GB2312" w:cs="仿宋_GB2312"/>
          <w:bCs/>
          <w:color w:val="auto"/>
          <w:sz w:val="32"/>
          <w:szCs w:val="32"/>
          <w:lang w:eastAsia="zh-CN"/>
        </w:rPr>
        <w:t>人员异动</w:t>
      </w:r>
      <w:r>
        <w:rPr>
          <w:rFonts w:hint="eastAsia" w:ascii="仿宋_GB2312" w:hAnsi="仿宋_GB2312" w:eastAsia="仿宋_GB2312" w:cs="仿宋_GB2312"/>
          <w:bCs/>
          <w:color w:val="auto"/>
          <w:sz w:val="32"/>
          <w:szCs w:val="32"/>
        </w:rPr>
        <w:t>。</w:t>
      </w:r>
    </w:p>
    <w:bookmarkEnd w:id="2"/>
    <w:p w14:paraId="16879E0D">
      <w:pPr>
        <w:pStyle w:val="15"/>
        <w:numPr>
          <w:ilvl w:val="0"/>
          <w:numId w:val="4"/>
        </w:numPr>
        <w:ind w:firstLine="800" w:firstLineChars="25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社会保障和就业支出（类）抚恤（款）其他优抚支出（项）。</w:t>
      </w:r>
    </w:p>
    <w:p w14:paraId="48F0C25D">
      <w:pPr>
        <w:pStyle w:val="15"/>
        <w:ind w:left="525" w:leftChars="25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年初预算为0万元，支出决算为</w:t>
      </w:r>
      <w:r>
        <w:rPr>
          <w:rFonts w:hint="eastAsia" w:ascii="仿宋_GB2312" w:hAnsi="仿宋_GB2312" w:eastAsia="仿宋_GB2312" w:cs="仿宋_GB2312"/>
          <w:color w:val="auto"/>
          <w:sz w:val="32"/>
          <w:szCs w:val="32"/>
          <w:lang w:val="en-US" w:eastAsia="zh-CN"/>
        </w:rPr>
        <w:t>40.32</w:t>
      </w:r>
      <w:r>
        <w:rPr>
          <w:rFonts w:hint="eastAsia" w:ascii="仿宋_GB2312" w:hAnsi="仿宋_GB2312" w:eastAsia="仿宋_GB2312" w:cs="仿宋_GB2312"/>
          <w:color w:val="auto"/>
          <w:sz w:val="32"/>
          <w:szCs w:val="32"/>
        </w:rPr>
        <w:t>万元，决算数大于预算数是因为</w:t>
      </w:r>
    </w:p>
    <w:p w14:paraId="335C68D9">
      <w:pPr>
        <w:pStyle w:val="15"/>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auto"/>
          <w:sz w:val="32"/>
          <w:szCs w:val="32"/>
        </w:rPr>
        <w:t>追加拨付了遗属生活困难补助。</w:t>
      </w:r>
    </w:p>
    <w:p w14:paraId="269B0D15">
      <w:pPr>
        <w:pStyle w:val="15"/>
        <w:numPr>
          <w:ilvl w:val="0"/>
          <w:numId w:val="4"/>
        </w:numPr>
        <w:ind w:firstLine="800" w:firstLineChars="25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卫生健康支出（类）行政事业单位医疗（款）行政单位医疗（项）。</w:t>
      </w:r>
    </w:p>
    <w:p w14:paraId="03DF5408">
      <w:pPr>
        <w:pStyle w:val="15"/>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70.36</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70.36</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Cs/>
          <w:color w:val="auto"/>
          <w:sz w:val="32"/>
          <w:szCs w:val="32"/>
        </w:rPr>
        <w:t>决算数等于预算数，主要原因是我单位严格按预算执行决算。</w:t>
      </w:r>
    </w:p>
    <w:p w14:paraId="7CDFECC5">
      <w:pPr>
        <w:pStyle w:val="15"/>
        <w:numPr>
          <w:ilvl w:val="0"/>
          <w:numId w:val="4"/>
        </w:numPr>
        <w:ind w:firstLine="8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城乡社区支出（类）城乡社区管理事务（款）城管执法（项）。</w:t>
      </w:r>
    </w:p>
    <w:p w14:paraId="1B0D033D">
      <w:pPr>
        <w:pStyle w:val="15"/>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年初预算为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1184.98</w:t>
      </w:r>
      <w:r>
        <w:rPr>
          <w:rFonts w:hint="eastAsia" w:ascii="仿宋_GB2312" w:hAnsi="仿宋_GB2312" w:eastAsia="仿宋_GB2312" w:cs="仿宋_GB2312"/>
          <w:color w:val="000000" w:themeColor="text1"/>
          <w:sz w:val="32"/>
          <w:szCs w:val="32"/>
          <w14:textFill>
            <w14:solidFill>
              <w14:schemeClr w14:val="tx1"/>
            </w14:solidFill>
          </w14:textFill>
        </w:rPr>
        <w:t>万元，支出决算为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1171.53</w:t>
      </w:r>
      <w:r>
        <w:rPr>
          <w:rFonts w:hint="eastAsia" w:ascii="仿宋_GB2312" w:hAnsi="仿宋_GB2312" w:eastAsia="仿宋_GB2312" w:cs="仿宋_GB2312"/>
          <w:color w:val="000000" w:themeColor="text1"/>
          <w:sz w:val="32"/>
          <w:szCs w:val="32"/>
          <w14:textFill>
            <w14:solidFill>
              <w14:schemeClr w14:val="tx1"/>
            </w14:solidFill>
          </w14:textFill>
        </w:rPr>
        <w:t>万元，</w:t>
      </w:r>
      <w:bookmarkStart w:id="4" w:name="_Hlk177805126"/>
      <w:r>
        <w:rPr>
          <w:rFonts w:hint="eastAsia" w:ascii="仿宋_GB2312" w:hAnsi="仿宋_GB2312" w:eastAsia="仿宋_GB2312" w:cs="仿宋_GB2312"/>
          <w:color w:val="000000" w:themeColor="text1"/>
          <w:sz w:val="32"/>
          <w:szCs w:val="32"/>
          <w14:textFill>
            <w14:solidFill>
              <w14:schemeClr w14:val="tx1"/>
            </w14:solidFill>
          </w14:textFill>
        </w:rPr>
        <w:t>完成年初预算的9</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8.86</w:t>
      </w:r>
      <w:r>
        <w:rPr>
          <w:rFonts w:hint="eastAsia" w:ascii="仿宋_GB2312" w:hAnsi="仿宋_GB2312" w:eastAsia="仿宋_GB2312" w:cs="仿宋_GB2312"/>
          <w:color w:val="000000" w:themeColor="text1"/>
          <w:sz w:val="32"/>
          <w:szCs w:val="32"/>
          <w14:textFill>
            <w14:solidFill>
              <w14:schemeClr w14:val="tx1"/>
            </w14:solidFill>
          </w14:textFill>
        </w:rPr>
        <w:t>%，</w:t>
      </w:r>
      <w:bookmarkEnd w:id="4"/>
      <w:r>
        <w:rPr>
          <w:rFonts w:hint="eastAsia" w:ascii="仿宋_GB2312" w:hAnsi="仿宋_GB2312" w:eastAsia="仿宋_GB2312" w:cs="仿宋_GB2312"/>
          <w:color w:val="000000" w:themeColor="text1"/>
          <w:sz w:val="32"/>
          <w:szCs w:val="32"/>
          <w14:textFill>
            <w14:solidFill>
              <w14:schemeClr w14:val="tx1"/>
            </w14:solidFill>
          </w14:textFill>
        </w:rPr>
        <w:t>决算数小于预算数是因为财政提前关账，部分费用未按时支付。</w:t>
      </w:r>
    </w:p>
    <w:p w14:paraId="51D62F08">
      <w:pPr>
        <w:pStyle w:val="15"/>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5、城乡社区支出（类）城乡社区管理事务（款）其他城乡社区管理事务支出（项）。</w:t>
      </w:r>
    </w:p>
    <w:p w14:paraId="6E6F64F7">
      <w:pPr>
        <w:pStyle w:val="15"/>
        <w:ind w:left="525" w:leftChars="2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年初预算为0万元，支出决算为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86.37</w:t>
      </w:r>
      <w:r>
        <w:rPr>
          <w:rFonts w:hint="eastAsia" w:ascii="仿宋_GB2312" w:hAnsi="仿宋_GB2312" w:eastAsia="仿宋_GB2312" w:cs="仿宋_GB2312"/>
          <w:color w:val="000000" w:themeColor="text1"/>
          <w:sz w:val="32"/>
          <w:szCs w:val="32"/>
          <w14:textFill>
            <w14:solidFill>
              <w14:schemeClr w14:val="tx1"/>
            </w14:solidFill>
          </w14:textFill>
        </w:rPr>
        <w:t>万元，决算数大于年初预算的主</w:t>
      </w:r>
    </w:p>
    <w:p w14:paraId="50EFDBA9">
      <w:pPr>
        <w:pStyle w:val="15"/>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要原因是追加了202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年办案费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15.75</w:t>
      </w:r>
      <w:r>
        <w:rPr>
          <w:rFonts w:hint="eastAsia" w:ascii="仿宋_GB2312" w:hAnsi="仿宋_GB2312" w:eastAsia="仿宋_GB2312" w:cs="仿宋_GB2312"/>
          <w:color w:val="000000" w:themeColor="text1"/>
          <w:sz w:val="32"/>
          <w:szCs w:val="32"/>
          <w14:textFill>
            <w14:solidFill>
              <w14:schemeClr w14:val="tx1"/>
            </w14:solidFill>
          </w14:textFill>
        </w:rPr>
        <w:t>万元、违停执法办案费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70</w:t>
      </w:r>
      <w:r>
        <w:rPr>
          <w:rFonts w:hint="eastAsia" w:ascii="仿宋_GB2312" w:hAnsi="仿宋_GB2312" w:eastAsia="仿宋_GB2312" w:cs="仿宋_GB2312"/>
          <w:color w:val="000000" w:themeColor="text1"/>
          <w:sz w:val="32"/>
          <w:szCs w:val="32"/>
          <w14:textFill>
            <w14:solidFill>
              <w14:schemeClr w14:val="tx1"/>
            </w14:solidFill>
          </w14:textFill>
        </w:rPr>
        <w:t>万元，2023年人员经费补差</w:t>
      </w:r>
      <w:r>
        <w:rPr>
          <w:rFonts w:hint="eastAsia" w:ascii="仿宋_GB2312" w:hAnsi="仿宋_GB2312" w:eastAsia="仿宋_GB2312" w:cs="仿宋_GB2312"/>
          <w:color w:val="000000" w:themeColor="text1"/>
          <w:sz w:val="32"/>
          <w:szCs w:val="32"/>
          <w:lang w:eastAsia="zh-CN"/>
          <w14:textFill>
            <w14:solidFill>
              <w14:schemeClr w14:val="tx1"/>
            </w14:solidFill>
          </w14:textFill>
        </w:rPr>
        <w:t>指标结转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0.62</w:t>
      </w:r>
      <w:r>
        <w:rPr>
          <w:rFonts w:hint="eastAsia" w:ascii="仿宋_GB2312" w:hAnsi="仿宋_GB2312" w:eastAsia="仿宋_GB2312" w:cs="仿宋_GB2312"/>
          <w:color w:val="000000" w:themeColor="text1"/>
          <w:sz w:val="32"/>
          <w:szCs w:val="32"/>
          <w14:textFill>
            <w14:solidFill>
              <w14:schemeClr w14:val="tx1"/>
            </w14:solidFill>
          </w14:textFill>
        </w:rPr>
        <w:t>万元</w:t>
      </w:r>
      <w:bookmarkStart w:id="5" w:name="_Hlk177810096"/>
      <w:r>
        <w:rPr>
          <w:rFonts w:hint="eastAsia" w:ascii="仿宋_GB2312" w:hAnsi="仿宋_GB2312" w:eastAsia="仿宋_GB2312" w:cs="仿宋_GB2312"/>
          <w:color w:val="000000" w:themeColor="text1"/>
          <w:sz w:val="32"/>
          <w:szCs w:val="32"/>
          <w14:textFill>
            <w14:solidFill>
              <w14:schemeClr w14:val="tx1"/>
            </w14:solidFill>
          </w14:textFill>
        </w:rPr>
        <w:t>等。</w:t>
      </w:r>
      <w:bookmarkEnd w:id="5"/>
    </w:p>
    <w:p w14:paraId="01AADA84">
      <w:pPr>
        <w:pStyle w:val="15"/>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6、城乡社区支出（类）</w:t>
      </w:r>
      <w:bookmarkStart w:id="6" w:name="_Hlk177804310"/>
      <w:bookmarkStart w:id="7" w:name="_Hlk177805865"/>
      <w:r>
        <w:rPr>
          <w:rFonts w:hint="eastAsia" w:ascii="仿宋_GB2312" w:hAnsi="仿宋_GB2312" w:eastAsia="仿宋_GB2312" w:cs="仿宋_GB2312"/>
          <w:color w:val="000000" w:themeColor="text1"/>
          <w:sz w:val="32"/>
          <w:szCs w:val="32"/>
          <w14:textFill>
            <w14:solidFill>
              <w14:schemeClr w14:val="tx1"/>
            </w14:solidFill>
          </w14:textFill>
        </w:rPr>
        <w:t>城乡社区</w:t>
      </w:r>
      <w:bookmarkEnd w:id="6"/>
      <w:r>
        <w:rPr>
          <w:rFonts w:hint="eastAsia" w:ascii="仿宋_GB2312" w:hAnsi="仿宋_GB2312" w:eastAsia="仿宋_GB2312" w:cs="仿宋_GB2312"/>
          <w:color w:val="000000" w:themeColor="text1"/>
          <w:sz w:val="32"/>
          <w:szCs w:val="32"/>
          <w14:textFill>
            <w14:solidFill>
              <w14:schemeClr w14:val="tx1"/>
            </w14:solidFill>
          </w14:textFill>
        </w:rPr>
        <w:t>规划与管理</w:t>
      </w:r>
      <w:bookmarkEnd w:id="7"/>
      <w:r>
        <w:rPr>
          <w:rFonts w:hint="eastAsia" w:ascii="仿宋_GB2312" w:hAnsi="仿宋_GB2312" w:eastAsia="仿宋_GB2312" w:cs="仿宋_GB2312"/>
          <w:color w:val="000000" w:themeColor="text1"/>
          <w:sz w:val="32"/>
          <w:szCs w:val="32"/>
          <w14:textFill>
            <w14:solidFill>
              <w14:schemeClr w14:val="tx1"/>
            </w14:solidFill>
          </w14:textFill>
        </w:rPr>
        <w:t>（款）城乡社区规划与管理（项）。</w:t>
      </w:r>
    </w:p>
    <w:p w14:paraId="11B79DA7">
      <w:pPr>
        <w:pStyle w:val="15"/>
        <w:ind w:left="525" w:leftChars="2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年初预算为268万元，支出决算为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280.3</w:t>
      </w:r>
      <w:r>
        <w:rPr>
          <w:rFonts w:hint="eastAsia" w:ascii="仿宋_GB2312" w:hAnsi="仿宋_GB2312" w:eastAsia="仿宋_GB2312" w:cs="仿宋_GB2312"/>
          <w:color w:val="000000" w:themeColor="text1"/>
          <w:sz w:val="32"/>
          <w:szCs w:val="32"/>
          <w14:textFill>
            <w14:solidFill>
              <w14:schemeClr w14:val="tx1"/>
            </w14:solidFill>
          </w14:textFill>
        </w:rPr>
        <w:t>万元，</w:t>
      </w:r>
      <w:bookmarkStart w:id="8" w:name="_Hlk177804869"/>
      <w:r>
        <w:rPr>
          <w:rFonts w:hint="eastAsia" w:ascii="仿宋_GB2312" w:hAnsi="仿宋_GB2312" w:eastAsia="仿宋_GB2312" w:cs="仿宋_GB2312"/>
          <w:color w:val="000000" w:themeColor="text1"/>
          <w:sz w:val="32"/>
          <w:szCs w:val="32"/>
          <w14:textFill>
            <w14:solidFill>
              <w14:schemeClr w14:val="tx1"/>
            </w14:solidFill>
          </w14:textFill>
        </w:rPr>
        <w:t>完成年初预</w:t>
      </w:r>
      <w:bookmarkEnd w:id="8"/>
      <w:r>
        <w:rPr>
          <w:rFonts w:hint="eastAsia" w:ascii="仿宋_GB2312" w:hAnsi="仿宋_GB2312" w:eastAsia="仿宋_GB2312" w:cs="仿宋_GB2312"/>
          <w:color w:val="000000" w:themeColor="text1"/>
          <w:sz w:val="32"/>
          <w:szCs w:val="32"/>
          <w14:textFill>
            <w14:solidFill>
              <w14:schemeClr w14:val="tx1"/>
            </w14:solidFill>
          </w14:textFill>
        </w:rPr>
        <w:t>算的</w:t>
      </w:r>
    </w:p>
    <w:p w14:paraId="03DB597C">
      <w:pPr>
        <w:pStyle w:val="15"/>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04.59</w:t>
      </w:r>
      <w:r>
        <w:rPr>
          <w:rFonts w:hint="eastAsia" w:ascii="仿宋_GB2312" w:hAnsi="仿宋_GB2312" w:eastAsia="仿宋_GB2312" w:cs="仿宋_GB2312"/>
          <w:color w:val="000000" w:themeColor="text1"/>
          <w:sz w:val="32"/>
          <w:szCs w:val="32"/>
          <w14:textFill>
            <w14:solidFill>
              <w14:schemeClr w14:val="tx1"/>
            </w14:solidFill>
          </w14:textFill>
        </w:rPr>
        <w:t>%。决算数大于年初预算的主要原因是追加了城市管理考评工作经费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12.3</w:t>
      </w:r>
      <w:r>
        <w:rPr>
          <w:rFonts w:hint="eastAsia" w:ascii="仿宋_GB2312" w:hAnsi="仿宋_GB2312" w:eastAsia="仿宋_GB2312" w:cs="仿宋_GB2312"/>
          <w:color w:val="000000" w:themeColor="text1"/>
          <w:sz w:val="32"/>
          <w:szCs w:val="32"/>
          <w14:textFill>
            <w14:solidFill>
              <w14:schemeClr w14:val="tx1"/>
            </w14:solidFill>
          </w14:textFill>
        </w:rPr>
        <w:t>（城管事务经费）。</w:t>
      </w:r>
    </w:p>
    <w:p w14:paraId="770372B7">
      <w:pPr>
        <w:pStyle w:val="15"/>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7、城乡社区支出（类）其他城乡社区支出（款）其他城乡社区支出（项）。     </w:t>
      </w:r>
    </w:p>
    <w:p w14:paraId="5638A977">
      <w:pPr>
        <w:pStyle w:val="15"/>
        <w:ind w:left="800"/>
        <w:rPr>
          <w:rFonts w:hint="eastAsia" w:ascii="仿宋_GB2312" w:hAnsi="仿宋_GB2312" w:eastAsia="仿宋_GB2312" w:cs="仿宋_GB2312"/>
          <w:color w:val="000000" w:themeColor="text1"/>
          <w:sz w:val="32"/>
          <w:szCs w:val="32"/>
          <w14:textFill>
            <w14:solidFill>
              <w14:schemeClr w14:val="tx1"/>
            </w14:solidFill>
          </w14:textFill>
        </w:rPr>
      </w:pPr>
      <w:bookmarkStart w:id="9" w:name="_Hlk177802107"/>
      <w:r>
        <w:rPr>
          <w:rFonts w:hint="eastAsia" w:ascii="仿宋_GB2312" w:hAnsi="仿宋_GB2312" w:eastAsia="仿宋_GB2312" w:cs="仿宋_GB2312"/>
          <w:color w:val="000000" w:themeColor="text1"/>
          <w:sz w:val="32"/>
          <w:szCs w:val="32"/>
          <w14:textFill>
            <w14:solidFill>
              <w14:schemeClr w14:val="tx1"/>
            </w14:solidFill>
          </w14:textFill>
        </w:rPr>
        <w:t>年初预算为1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万元，支出决算为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135.05</w:t>
      </w:r>
      <w:r>
        <w:rPr>
          <w:rFonts w:hint="eastAsia" w:ascii="仿宋_GB2312" w:hAnsi="仿宋_GB2312" w:eastAsia="仿宋_GB2312" w:cs="仿宋_GB2312"/>
          <w:color w:val="000000" w:themeColor="text1"/>
          <w:sz w:val="32"/>
          <w:szCs w:val="32"/>
          <w14:textFill>
            <w14:solidFill>
              <w14:schemeClr w14:val="tx1"/>
            </w14:solidFill>
          </w14:textFill>
        </w:rPr>
        <w:t>万元，完成年初预算的</w:t>
      </w:r>
    </w:p>
    <w:p w14:paraId="72098881">
      <w:pPr>
        <w:pStyle w:val="15"/>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1125.42</w:t>
      </w:r>
      <w:r>
        <w:rPr>
          <w:rFonts w:hint="eastAsia" w:ascii="仿宋_GB2312" w:hAnsi="仿宋_GB2312" w:eastAsia="仿宋_GB2312" w:cs="仿宋_GB2312"/>
          <w:color w:val="000000" w:themeColor="text1"/>
          <w:sz w:val="32"/>
          <w:szCs w:val="32"/>
          <w14:textFill>
            <w14:solidFill>
              <w14:schemeClr w14:val="tx1"/>
            </w14:solidFill>
          </w14:textFill>
        </w:rPr>
        <w:t>%，决算数大于年初预算的主要原因是追加了202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其他资金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0.72</w:t>
      </w:r>
      <w:r>
        <w:rPr>
          <w:rFonts w:hint="eastAsia" w:ascii="仿宋_GB2312" w:hAnsi="仿宋_GB2312" w:eastAsia="仿宋_GB2312" w:cs="仿宋_GB2312"/>
          <w:color w:val="000000" w:themeColor="text1"/>
          <w:sz w:val="32"/>
          <w:szCs w:val="32"/>
          <w14:textFill>
            <w14:solidFill>
              <w14:schemeClr w14:val="tx1"/>
            </w14:solidFill>
          </w14:textFill>
        </w:rPr>
        <w:t>万元，202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年基础绩效奖和年度考核奖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102.02</w:t>
      </w:r>
      <w:r>
        <w:rPr>
          <w:rFonts w:hint="eastAsia" w:ascii="仿宋_GB2312" w:hAnsi="仿宋_GB2312" w:eastAsia="仿宋_GB2312" w:cs="仿宋_GB2312"/>
          <w:color w:val="000000" w:themeColor="text1"/>
          <w:sz w:val="32"/>
          <w:szCs w:val="32"/>
          <w14:textFill>
            <w14:solidFill>
              <w14:schemeClr w14:val="tx1"/>
            </w14:solidFill>
          </w14:textFill>
        </w:rPr>
        <w:t>万元、2023年年终一个月工资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24.93</w:t>
      </w:r>
      <w:r>
        <w:rPr>
          <w:rFonts w:hint="eastAsia" w:ascii="仿宋_GB2312" w:hAnsi="仿宋_GB2312" w:eastAsia="仿宋_GB2312" w:cs="仿宋_GB2312"/>
          <w:color w:val="000000" w:themeColor="text1"/>
          <w:sz w:val="32"/>
          <w:szCs w:val="32"/>
          <w14:textFill>
            <w14:solidFill>
              <w14:schemeClr w14:val="tx1"/>
            </w14:solidFill>
          </w14:textFill>
        </w:rPr>
        <w:t>万元</w:t>
      </w:r>
      <w:bookmarkEnd w:id="9"/>
      <w:r>
        <w:rPr>
          <w:rFonts w:hint="eastAsia" w:ascii="仿宋_GB2312" w:hAnsi="仿宋_GB2312" w:eastAsia="仿宋_GB2312" w:cs="仿宋_GB2312"/>
          <w:color w:val="000000" w:themeColor="text1"/>
          <w:sz w:val="32"/>
          <w:szCs w:val="32"/>
          <w14:textFill>
            <w14:solidFill>
              <w14:schemeClr w14:val="tx1"/>
            </w14:solidFill>
          </w14:textFill>
        </w:rPr>
        <w:t>以及上年结余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7.37</w:t>
      </w:r>
      <w:r>
        <w:rPr>
          <w:rFonts w:hint="eastAsia" w:ascii="仿宋_GB2312" w:hAnsi="仿宋_GB2312" w:eastAsia="仿宋_GB2312" w:cs="仿宋_GB2312"/>
          <w:color w:val="000000" w:themeColor="text1"/>
          <w:sz w:val="32"/>
          <w:szCs w:val="32"/>
          <w14:textFill>
            <w14:solidFill>
              <w14:schemeClr w14:val="tx1"/>
            </w14:solidFill>
          </w14:textFill>
        </w:rPr>
        <w:t xml:space="preserve">万元等。  </w:t>
      </w:r>
    </w:p>
    <w:p w14:paraId="78351C15">
      <w:pPr>
        <w:pStyle w:val="15"/>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8、住房保障支出（类）住房改革支出(款)住房公积金（项）。</w:t>
      </w:r>
    </w:p>
    <w:p w14:paraId="7D9E9DF2">
      <w:pPr>
        <w:pStyle w:val="15"/>
        <w:spacing w:line="600" w:lineRule="exact"/>
        <w:ind w:left="8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年初预算为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87.71</w:t>
      </w:r>
      <w:r>
        <w:rPr>
          <w:rFonts w:hint="eastAsia" w:ascii="仿宋_GB2312" w:hAnsi="仿宋_GB2312" w:eastAsia="仿宋_GB2312" w:cs="仿宋_GB2312"/>
          <w:color w:val="000000" w:themeColor="text1"/>
          <w:sz w:val="32"/>
          <w:szCs w:val="32"/>
          <w14:textFill>
            <w14:solidFill>
              <w14:schemeClr w14:val="tx1"/>
            </w14:solidFill>
          </w14:textFill>
        </w:rPr>
        <w:t>万元，支出决算为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87.71</w:t>
      </w:r>
      <w:r>
        <w:rPr>
          <w:rFonts w:hint="eastAsia" w:ascii="仿宋_GB2312" w:hAnsi="仿宋_GB2312" w:eastAsia="仿宋_GB2312" w:cs="仿宋_GB2312"/>
          <w:color w:val="000000" w:themeColor="text1"/>
          <w:sz w:val="32"/>
          <w:szCs w:val="32"/>
          <w14:textFill>
            <w14:solidFill>
              <w14:schemeClr w14:val="tx1"/>
            </w14:solidFill>
          </w14:textFill>
        </w:rPr>
        <w:t>万元，完成年初预算的</w:t>
      </w:r>
    </w:p>
    <w:p w14:paraId="3151B7DB">
      <w:pPr>
        <w:pStyle w:val="15"/>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100%，</w:t>
      </w:r>
      <w:r>
        <w:rPr>
          <w:rFonts w:hint="eastAsia" w:ascii="仿宋_GB2312" w:hAnsi="仿宋_GB2312" w:eastAsia="仿宋_GB2312" w:cs="仿宋_GB2312"/>
          <w:bCs/>
          <w:color w:val="000000" w:themeColor="text1"/>
          <w:sz w:val="32"/>
          <w:szCs w:val="32"/>
          <w14:textFill>
            <w14:solidFill>
              <w14:schemeClr w14:val="tx1"/>
            </w14:solidFill>
          </w14:textFill>
        </w:rPr>
        <w:t>决算数等于预算数，主要原因是我单位严格按预算执行决算</w:t>
      </w:r>
      <w:r>
        <w:rPr>
          <w:rFonts w:hint="eastAsia" w:ascii="仿宋_GB2312" w:hAnsi="仿宋_GB2312" w:eastAsia="仿宋_GB2312" w:cs="仿宋_GB2312"/>
          <w:color w:val="000000" w:themeColor="text1"/>
          <w:sz w:val="32"/>
          <w:szCs w:val="32"/>
          <w14:textFill>
            <w14:solidFill>
              <w14:schemeClr w14:val="tx1"/>
            </w14:solidFill>
          </w14:textFill>
        </w:rPr>
        <w:t>。</w:t>
      </w:r>
    </w:p>
    <w:p w14:paraId="38B21896">
      <w:pPr>
        <w:pStyle w:val="15"/>
        <w:spacing w:line="600" w:lineRule="exact"/>
        <w:ind w:firstLine="640" w:firstLineChars="200"/>
        <w:rPr>
          <w:rFonts w:hint="eastAsia" w:hAnsi="黑体"/>
          <w:bCs/>
          <w:color w:val="000000" w:themeColor="text1"/>
          <w:sz w:val="32"/>
          <w:szCs w:val="32"/>
          <w14:textFill>
            <w14:solidFill>
              <w14:schemeClr w14:val="tx1"/>
            </w14:solidFill>
          </w14:textFill>
        </w:rPr>
      </w:pPr>
      <w:r>
        <w:rPr>
          <w:rFonts w:hint="eastAsia" w:hAnsi="黑体"/>
          <w:bCs/>
          <w:color w:val="000000" w:themeColor="text1"/>
          <w:sz w:val="32"/>
          <w:szCs w:val="32"/>
          <w14:textFill>
            <w14:solidFill>
              <w14:schemeClr w14:val="tx1"/>
            </w14:solidFill>
          </w14:textFill>
        </w:rPr>
        <w:t>六、一般公共预算财政拨款基本支出决算情况说明</w:t>
      </w:r>
    </w:p>
    <w:p w14:paraId="6E8975BA">
      <w:pPr>
        <w:pStyle w:val="15"/>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年度</w:t>
      </w:r>
      <w:r>
        <w:rPr>
          <w:rFonts w:hint="eastAsia" w:ascii="仿宋_GB2312" w:hAnsi="仿宋_GB2312" w:eastAsia="仿宋_GB2312" w:cs="仿宋_GB2312"/>
          <w:color w:val="000000" w:themeColor="text1"/>
          <w:sz w:val="32"/>
          <w:szCs w:val="32"/>
          <w:lang w:eastAsia="zh-CN"/>
          <w14:textFill>
            <w14:solidFill>
              <w14:schemeClr w14:val="tx1"/>
            </w14:solidFill>
          </w14:textFill>
        </w:rPr>
        <w:t>一般公共预算</w:t>
      </w:r>
      <w:r>
        <w:rPr>
          <w:rFonts w:hint="eastAsia" w:ascii="仿宋_GB2312" w:hAnsi="仿宋_GB2312" w:eastAsia="仿宋_GB2312" w:cs="仿宋_GB2312"/>
          <w:color w:val="000000" w:themeColor="text1"/>
          <w:sz w:val="32"/>
          <w:szCs w:val="32"/>
          <w14:textFill>
            <w14:solidFill>
              <w14:schemeClr w14:val="tx1"/>
            </w14:solidFill>
          </w14:textFill>
        </w:rPr>
        <w:t>财政拨款基本支出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1673.31</w:t>
      </w:r>
      <w:r>
        <w:rPr>
          <w:rFonts w:hint="eastAsia" w:ascii="仿宋_GB2312" w:hAnsi="仿宋_GB2312" w:eastAsia="仿宋_GB2312" w:cs="仿宋_GB2312"/>
          <w:color w:val="000000" w:themeColor="text1"/>
          <w:sz w:val="32"/>
          <w:szCs w:val="32"/>
          <w14:textFill>
            <w14:solidFill>
              <w14:schemeClr w14:val="tx1"/>
            </w14:solidFill>
          </w14:textFill>
        </w:rPr>
        <w:t>万元，其中：</w:t>
      </w:r>
    </w:p>
    <w:p w14:paraId="470288AC">
      <w:pPr>
        <w:pStyle w:val="15"/>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人员经费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1462.22</w:t>
      </w:r>
      <w:r>
        <w:rPr>
          <w:rFonts w:hint="eastAsia" w:ascii="仿宋_GB2312" w:hAnsi="仿宋_GB2312" w:eastAsia="仿宋_GB2312" w:cs="仿宋_GB2312"/>
          <w:color w:val="000000" w:themeColor="text1"/>
          <w:sz w:val="32"/>
          <w:szCs w:val="32"/>
          <w14:textFill>
            <w14:solidFill>
              <w14:schemeClr w14:val="tx1"/>
            </w14:solidFill>
          </w14:textFill>
        </w:rPr>
        <w:t>万元，占基本支出的87.3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主要包括基本工资、津贴补贴、奖金、伙食补助费、绩效工资、机关事业单位基本养老保险缴费、职工基本医疗保险缴费、其他社会保障缴费、住房公积金、医疗费、对个人和家庭的补助、退休费、抚恤金、医疗费补助、生活补助、其他对个人和家庭的补助等</w:t>
      </w:r>
      <w:r>
        <w:rPr>
          <w:rFonts w:hint="eastAsia" w:ascii="仿宋_GB2312" w:hAnsi="仿宋_GB2312" w:eastAsia="仿宋_GB2312" w:cs="仿宋_GB2312"/>
          <w:color w:val="000000" w:themeColor="text1"/>
          <w:sz w:val="32"/>
          <w:szCs w:val="32"/>
          <w14:textFill>
            <w14:solidFill>
              <w14:schemeClr w14:val="tx1"/>
            </w14:solidFill>
          </w14:textFill>
        </w:rPr>
        <w:t>。</w:t>
      </w:r>
    </w:p>
    <w:p w14:paraId="4DF6182A">
      <w:pPr>
        <w:pStyle w:val="15"/>
        <w:spacing w:line="600" w:lineRule="exact"/>
        <w:ind w:firstLine="640" w:firstLineChars="200"/>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公用经费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211.09</w:t>
      </w:r>
      <w:r>
        <w:rPr>
          <w:rFonts w:hint="eastAsia" w:ascii="仿宋_GB2312" w:hAnsi="仿宋_GB2312" w:eastAsia="仿宋_GB2312" w:cs="仿宋_GB2312"/>
          <w:color w:val="000000" w:themeColor="text1"/>
          <w:sz w:val="32"/>
          <w:szCs w:val="32"/>
          <w14:textFill>
            <w14:solidFill>
              <w14:schemeClr w14:val="tx1"/>
            </w14:solidFill>
          </w14:textFill>
        </w:rPr>
        <w:t>万元，占基本支出的12.6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%，主要包括</w:t>
      </w:r>
      <w:r>
        <w:rPr>
          <w:rFonts w:hint="eastAsia" w:ascii="Times New Roman" w:hAnsi="Times New Roman" w:eastAsia="仿宋_GB2312"/>
          <w:color w:val="000000" w:themeColor="text1"/>
          <w:sz w:val="32"/>
          <w:szCs w:val="32"/>
          <w14:textFill>
            <w14:solidFill>
              <w14:schemeClr w14:val="tx1"/>
            </w14:solidFill>
          </w14:textFill>
        </w:rPr>
        <w:t>办公费、印刷费、咨询费、水费、电费、邮电费、物业管理费 差旅费、维修（护）费、租赁费、会议费、培训费、劳务费、工会经费、福利费、公务用车运行维护费、 其他交通费用、其他商品和服务支出、办公设备购置、其他资本性支出等</w:t>
      </w:r>
      <w:r>
        <w:rPr>
          <w:rFonts w:hint="eastAsia" w:ascii="仿宋_GB2312" w:hAnsi="仿宋_GB2312" w:eastAsia="仿宋_GB2312" w:cs="仿宋_GB2312"/>
          <w:color w:val="000000" w:themeColor="text1"/>
          <w:sz w:val="32"/>
          <w:szCs w:val="32"/>
          <w14:textFill>
            <w14:solidFill>
              <w14:schemeClr w14:val="tx1"/>
            </w14:solidFill>
          </w14:textFill>
        </w:rPr>
        <w:t>。</w:t>
      </w:r>
    </w:p>
    <w:p w14:paraId="61B13293">
      <w:pPr>
        <w:pStyle w:val="15"/>
        <w:spacing w:line="600" w:lineRule="exact"/>
        <w:ind w:firstLine="640" w:firstLineChars="200"/>
        <w:rPr>
          <w:rFonts w:hint="eastAsia" w:hAnsi="黑体"/>
          <w:bCs/>
          <w:color w:val="000000" w:themeColor="text1"/>
          <w:sz w:val="32"/>
          <w:szCs w:val="32"/>
          <w14:textFill>
            <w14:solidFill>
              <w14:schemeClr w14:val="tx1"/>
            </w14:solidFill>
          </w14:textFill>
        </w:rPr>
      </w:pPr>
      <w:r>
        <w:rPr>
          <w:rFonts w:hint="eastAsia" w:hAnsi="黑体"/>
          <w:bCs/>
          <w:color w:val="000000" w:themeColor="text1"/>
          <w:sz w:val="32"/>
          <w:szCs w:val="32"/>
          <w14:textFill>
            <w14:solidFill>
              <w14:schemeClr w14:val="tx1"/>
            </w14:solidFill>
          </w14:textFill>
        </w:rPr>
        <w:t>七、政府性基金预算收入支出决算情况</w:t>
      </w:r>
    </w:p>
    <w:p w14:paraId="5D78C4B0">
      <w:pPr>
        <w:pStyle w:val="15"/>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年度政府性基金预算财政拨款收入0万元；年初结转和结余0万元；支出0万元，其中基本支出0万元，项目支出0万元；年末结转和结余0万元。</w:t>
      </w:r>
    </w:p>
    <w:p w14:paraId="4FD41463">
      <w:pPr>
        <w:autoSpaceDE w:val="0"/>
        <w:autoSpaceDN w:val="0"/>
        <w:adjustRightInd w:val="0"/>
        <w:spacing w:line="600" w:lineRule="exact"/>
        <w:ind w:firstLine="640" w:firstLineChars="200"/>
        <w:rPr>
          <w:rFonts w:hint="eastAsia" w:ascii="黑体" w:hAnsi="黑体" w:eastAsia="黑体" w:cs="黑体"/>
          <w:bCs/>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八、国有资本经营预算财政拨款支出决算情况</w:t>
      </w:r>
    </w:p>
    <w:p w14:paraId="5510AC43">
      <w:pPr>
        <w:autoSpaceDE w:val="0"/>
        <w:autoSpaceDN w:val="0"/>
        <w:adjustRightInd w:val="0"/>
        <w:ind w:firstLine="640" w:firstLineChars="200"/>
        <w:rPr>
          <w:rFonts w:hint="eastAsia" w:ascii="黑体" w:hAnsi="黑体" w:eastAsia="黑体" w:cs="黑体"/>
          <w:bCs/>
          <w:color w:val="000000" w:themeColor="text1"/>
          <w:sz w:val="32"/>
          <w:szCs w:val="32"/>
          <w14:textFill>
            <w14:solidFill>
              <w14:schemeClr w14:val="tx1"/>
            </w14:solidFill>
          </w14:textFill>
        </w:rPr>
      </w:pPr>
      <w:r>
        <w:rPr>
          <w:rFonts w:hint="eastAsia" w:ascii="仿宋_GB2312" w:hAnsi="仿宋_GB2312" w:eastAsia="仿宋_GB2312" w:cs="仿宋_GB2312"/>
          <w:iCs/>
          <w:color w:val="000000" w:themeColor="text1"/>
          <w:kern w:val="0"/>
          <w:sz w:val="32"/>
          <w:szCs w:val="32"/>
          <w14:textFill>
            <w14:solidFill>
              <w14:schemeClr w14:val="tx1"/>
            </w14:solidFill>
          </w14:textFill>
        </w:rPr>
        <w:t>202</w:t>
      </w:r>
      <w:r>
        <w:rPr>
          <w:rFonts w:hint="eastAsia" w:ascii="仿宋_GB2312" w:hAnsi="仿宋_GB2312" w:eastAsia="仿宋_GB2312" w:cs="仿宋_GB2312"/>
          <w:iCs/>
          <w:color w:val="000000" w:themeColor="text1"/>
          <w:kern w:val="0"/>
          <w:sz w:val="32"/>
          <w:szCs w:val="32"/>
          <w:lang w:val="en-US" w:eastAsia="zh-CN"/>
          <w14:textFill>
            <w14:solidFill>
              <w14:schemeClr w14:val="tx1"/>
            </w14:solidFill>
          </w14:textFill>
        </w:rPr>
        <w:t>4</w:t>
      </w:r>
      <w:r>
        <w:rPr>
          <w:rFonts w:hint="eastAsia" w:ascii="仿宋_GB2312" w:hAnsi="仿宋_GB2312" w:eastAsia="仿宋_GB2312" w:cs="仿宋_GB2312"/>
          <w:iCs/>
          <w:color w:val="000000" w:themeColor="text1"/>
          <w:kern w:val="0"/>
          <w:sz w:val="32"/>
          <w:szCs w:val="32"/>
          <w14:textFill>
            <w14:solidFill>
              <w14:schemeClr w14:val="tx1"/>
            </w14:solidFill>
          </w14:textFill>
        </w:rPr>
        <w:t>年度国有资本经营预算财政拨款收入0万元；年初结转和结余0万；支出0万元，其中：基本支出0万元，项目支出0万元；年末结转和结余0万元。</w:t>
      </w:r>
    </w:p>
    <w:p w14:paraId="7DC00787">
      <w:pPr>
        <w:pStyle w:val="15"/>
        <w:spacing w:line="600" w:lineRule="exact"/>
        <w:ind w:firstLine="640" w:firstLineChars="200"/>
        <w:rPr>
          <w:rFonts w:ascii="Times New Roman" w:hAnsi="Times New Roman" w:eastAsia="仿宋_GB2312"/>
          <w:b/>
          <w:color w:val="000000" w:themeColor="text1"/>
          <w:sz w:val="32"/>
          <w:szCs w:val="32"/>
          <w14:textFill>
            <w14:solidFill>
              <w14:schemeClr w14:val="tx1"/>
            </w14:solidFill>
          </w14:textFill>
        </w:rPr>
      </w:pPr>
      <w:r>
        <w:rPr>
          <w:rFonts w:hint="eastAsia" w:hAnsi="黑体"/>
          <w:bCs/>
          <w:color w:val="000000" w:themeColor="text1"/>
          <w:sz w:val="32"/>
          <w:szCs w:val="32"/>
          <w14:textFill>
            <w14:solidFill>
              <w14:schemeClr w14:val="tx1"/>
            </w14:solidFill>
          </w14:textFill>
        </w:rPr>
        <w:t>九、财政拨款三公经费支出决算情况说明</w:t>
      </w:r>
    </w:p>
    <w:p w14:paraId="2F1401F2">
      <w:pPr>
        <w:pStyle w:val="15"/>
        <w:spacing w:line="600" w:lineRule="exact"/>
        <w:ind w:firstLine="640" w:firstLineChars="200"/>
        <w:rPr>
          <w:rFonts w:hint="eastAsia" w:ascii="楷体" w:hAnsi="楷体" w:eastAsia="楷体" w:cs="楷体"/>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（一）“三公”经费财政拨款支出决算总体情况说明</w:t>
      </w:r>
    </w:p>
    <w:p w14:paraId="51E946A2">
      <w:pPr>
        <w:pStyle w:val="15"/>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“三公”经费财政拨款支出预算为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25.34</w:t>
      </w:r>
      <w:r>
        <w:rPr>
          <w:rFonts w:hint="eastAsia" w:ascii="仿宋_GB2312" w:hAnsi="仿宋_GB2312" w:eastAsia="仿宋_GB2312" w:cs="仿宋_GB2312"/>
          <w:color w:val="000000" w:themeColor="text1"/>
          <w:sz w:val="32"/>
          <w:szCs w:val="32"/>
          <w14:textFill>
            <w14:solidFill>
              <w14:schemeClr w14:val="tx1"/>
            </w14:solidFill>
          </w14:textFill>
        </w:rPr>
        <w:t>万元，支出决算为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25.34</w:t>
      </w:r>
      <w:r>
        <w:rPr>
          <w:rFonts w:hint="eastAsia" w:ascii="仿宋_GB2312" w:hAnsi="仿宋_GB2312" w:eastAsia="仿宋_GB2312" w:cs="仿宋_GB2312"/>
          <w:color w:val="000000" w:themeColor="text1"/>
          <w:sz w:val="32"/>
          <w:szCs w:val="32"/>
          <w14:textFill>
            <w14:solidFill>
              <w14:schemeClr w14:val="tx1"/>
            </w14:solidFill>
          </w14:textFill>
        </w:rPr>
        <w:t>万元，完成预算的100%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决算数等于预算数。</w:t>
      </w:r>
      <w:r>
        <w:rPr>
          <w:rFonts w:hint="eastAsia" w:ascii="仿宋_GB2312" w:hAnsi="仿宋_GB2312" w:eastAsia="仿宋_GB2312" w:cs="仿宋_GB2312"/>
          <w:color w:val="000000" w:themeColor="text1"/>
          <w:sz w:val="32"/>
          <w:szCs w:val="32"/>
          <w14:textFill>
            <w14:solidFill>
              <w14:schemeClr w14:val="tx1"/>
            </w14:solidFill>
          </w14:textFill>
        </w:rPr>
        <w:t>与上年相比</w:t>
      </w:r>
      <w:r>
        <w:rPr>
          <w:rFonts w:hint="eastAsia" w:ascii="仿宋_GB2312" w:hAnsi="仿宋_GB2312" w:eastAsia="仿宋_GB2312" w:cs="仿宋_GB2312"/>
          <w:color w:val="000000" w:themeColor="text1"/>
          <w:sz w:val="32"/>
          <w:szCs w:val="32"/>
          <w:lang w:eastAsia="zh-CN"/>
          <w14:textFill>
            <w14:solidFill>
              <w14:schemeClr w14:val="tx1"/>
            </w14:solidFill>
          </w14:textFill>
        </w:rPr>
        <w:t>增加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7.48</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增加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41.88</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增加</w:t>
      </w:r>
      <w:r>
        <w:rPr>
          <w:rFonts w:hint="eastAsia" w:ascii="仿宋_GB2312" w:hAnsi="仿宋_GB2312" w:eastAsia="仿宋_GB2312" w:cs="仿宋_GB2312"/>
          <w:color w:val="000000" w:themeColor="text1"/>
          <w:sz w:val="32"/>
          <w:szCs w:val="32"/>
          <w14:textFill>
            <w14:solidFill>
              <w14:schemeClr w14:val="tx1"/>
            </w14:solidFill>
          </w14:textFill>
        </w:rPr>
        <w:t>的主要原因是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w:t>
      </w:r>
      <w:r>
        <w:rPr>
          <w:rFonts w:hint="eastAsia" w:ascii="仿宋_GB2312" w:hAnsi="仿宋_GB2312" w:eastAsia="仿宋_GB2312" w:cs="仿宋_GB2312"/>
          <w:color w:val="000000" w:themeColor="text1"/>
          <w:sz w:val="32"/>
          <w:szCs w:val="32"/>
          <w14:textFill>
            <w14:solidFill>
              <w14:schemeClr w14:val="tx1"/>
            </w14:solidFill>
          </w14:textFill>
        </w:rPr>
        <w:t>财政提前关账，部分费用</w:t>
      </w:r>
      <w:r>
        <w:rPr>
          <w:rFonts w:hint="eastAsia" w:ascii="仿宋_GB2312" w:hAnsi="仿宋_GB2312" w:eastAsia="仿宋_GB2312" w:cs="仿宋_GB2312"/>
          <w:color w:val="000000" w:themeColor="text1"/>
          <w:sz w:val="32"/>
          <w:szCs w:val="32"/>
          <w:lang w:eastAsia="zh-CN"/>
          <w14:textFill>
            <w14:solidFill>
              <w14:schemeClr w14:val="tx1"/>
            </w14:solidFill>
          </w14:textFill>
        </w:rPr>
        <w:t>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w:t>
      </w:r>
      <w:r>
        <w:rPr>
          <w:rFonts w:hint="eastAsia" w:ascii="仿宋_GB2312" w:hAnsi="仿宋_GB2312" w:eastAsia="仿宋_GB2312" w:cs="仿宋_GB2312"/>
          <w:color w:val="000000" w:themeColor="text1"/>
          <w:sz w:val="32"/>
          <w:szCs w:val="32"/>
          <w14:textFill>
            <w14:solidFill>
              <w14:schemeClr w14:val="tx1"/>
            </w14:solidFill>
          </w14:textFill>
        </w:rPr>
        <w:t>支付。</w:t>
      </w:r>
    </w:p>
    <w:p w14:paraId="17F3AEEE">
      <w:pPr>
        <w:pStyle w:val="15"/>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（二）“三公”经费财政拨款支出决算具体情况说明</w:t>
      </w:r>
    </w:p>
    <w:p w14:paraId="4ED12D43">
      <w:pPr>
        <w:pStyle w:val="15"/>
        <w:spacing w:line="600" w:lineRule="exact"/>
        <w:ind w:firstLine="800" w:firstLineChars="250"/>
        <w:rPr>
          <w:rFonts w:hint="eastAsia" w:ascii="楷体" w:hAnsi="楷体" w:eastAsia="仿宋_GB2312" w:cs="楷体"/>
          <w:b/>
          <w:bCs/>
          <w:i/>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1、因公出国（境）费</w:t>
      </w:r>
      <w:r>
        <w:rPr>
          <w:rFonts w:ascii="Times New Roman" w:hAnsi="Times New Roman" w:eastAsia="仿宋_GB2312" w:cs="Times New Roman"/>
          <w:sz w:val="32"/>
          <w:szCs w:val="32"/>
        </w:rPr>
        <w:t>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支出决算为0万元，全年安排因公出国（境）团组0个，累计0人次，</w:t>
      </w:r>
      <w:r>
        <w:rPr>
          <w:rFonts w:hint="eastAsia" w:ascii="仿宋_GB2312" w:hAnsi="仿宋_GB2312" w:eastAsia="仿宋_GB2312" w:cs="仿宋_GB2312"/>
          <w:bCs/>
          <w:color w:val="000000" w:themeColor="text1"/>
          <w:sz w:val="32"/>
          <w:szCs w:val="32"/>
          <w14:textFill>
            <w14:solidFill>
              <w14:schemeClr w14:val="tx1"/>
            </w14:solidFill>
          </w14:textFill>
        </w:rPr>
        <w:t>我单位202</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Cs/>
          <w:color w:val="000000" w:themeColor="text1"/>
          <w:sz w:val="32"/>
          <w:szCs w:val="32"/>
          <w14:textFill>
            <w14:solidFill>
              <w14:schemeClr w14:val="tx1"/>
            </w14:solidFill>
          </w14:textFill>
        </w:rPr>
        <w:t>年度无因公出国（境）费支出。</w:t>
      </w:r>
    </w:p>
    <w:p w14:paraId="390A892A">
      <w:pPr>
        <w:pStyle w:val="15"/>
        <w:spacing w:line="600" w:lineRule="exact"/>
        <w:ind w:firstLine="800" w:firstLineChars="25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2、公务接待费</w:t>
      </w:r>
      <w:r>
        <w:rPr>
          <w:rFonts w:ascii="Times New Roman" w:hAnsi="Times New Roman" w:eastAsia="仿宋_GB2312" w:cs="Times New Roman"/>
          <w:sz w:val="32"/>
          <w:szCs w:val="32"/>
        </w:rPr>
        <w:t>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支出决算为0万元，全年共接待来访团组0个、来宾0人次，</w:t>
      </w:r>
      <w:r>
        <w:rPr>
          <w:rFonts w:hint="eastAsia" w:ascii="仿宋_GB2312" w:hAnsi="仿宋_GB2312" w:eastAsia="仿宋_GB2312" w:cs="仿宋_GB2312"/>
          <w:bCs/>
          <w:color w:val="000000" w:themeColor="text1"/>
          <w:sz w:val="32"/>
          <w:szCs w:val="32"/>
          <w14:textFill>
            <w14:solidFill>
              <w14:schemeClr w14:val="tx1"/>
            </w14:solidFill>
          </w14:textFill>
        </w:rPr>
        <w:t>我单位202</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Cs/>
          <w:color w:val="000000" w:themeColor="text1"/>
          <w:sz w:val="32"/>
          <w:szCs w:val="32"/>
          <w14:textFill>
            <w14:solidFill>
              <w14:schemeClr w14:val="tx1"/>
            </w14:solidFill>
          </w14:textFill>
        </w:rPr>
        <w:t>年度无公务接待费支出</w:t>
      </w:r>
      <w:r>
        <w:rPr>
          <w:rFonts w:hint="eastAsia" w:ascii="Times New Roman" w:hAnsi="Times New Roman" w:eastAsia="仿宋_GB2312"/>
          <w:color w:val="000000" w:themeColor="text1"/>
          <w:sz w:val="32"/>
          <w:szCs w:val="32"/>
          <w14:textFill>
            <w14:solidFill>
              <w14:schemeClr w14:val="tx1"/>
            </w14:solidFill>
          </w14:textFill>
        </w:rPr>
        <w:t>。</w:t>
      </w:r>
    </w:p>
    <w:p w14:paraId="2DD14C8F">
      <w:pPr>
        <w:spacing w:line="600" w:lineRule="exact"/>
        <w:ind w:firstLine="800" w:firstLineChars="250"/>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3、公务用车购置费及运行维护费</w:t>
      </w:r>
      <w:r>
        <w:rPr>
          <w:rFonts w:ascii="Times New Roman" w:hAnsi="Times New Roman" w:eastAsia="仿宋_GB2312" w:cs="Times New Roman"/>
          <w:sz w:val="32"/>
          <w:szCs w:val="32"/>
        </w:rPr>
        <w:t>支出预算为</w:t>
      </w:r>
      <w:r>
        <w:rPr>
          <w:rFonts w:hint="eastAsia" w:ascii="Times New Roman" w:hAnsi="Times New Roman" w:eastAsia="仿宋_GB2312" w:cs="Times New Roman"/>
          <w:sz w:val="32"/>
          <w:szCs w:val="32"/>
          <w:lang w:val="en-US" w:eastAsia="zh-CN"/>
        </w:rPr>
        <w:t>25.34</w:t>
      </w:r>
      <w:r>
        <w:rPr>
          <w:rFonts w:ascii="Times New Roman" w:hAnsi="Times New Roman" w:eastAsia="仿宋_GB2312" w:cs="Times New Roman"/>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支出决算为</w:t>
      </w:r>
      <w:r>
        <w:rPr>
          <w:rFonts w:hint="eastAsia" w:ascii="Times New Roman" w:hAnsi="Times New Roman" w:eastAsia="仿宋_GB2312"/>
          <w:color w:val="000000" w:themeColor="text1"/>
          <w:sz w:val="32"/>
          <w:szCs w:val="32"/>
          <w:lang w:val="en-US" w:eastAsia="zh-CN"/>
          <w14:textFill>
            <w14:solidFill>
              <w14:schemeClr w14:val="tx1"/>
            </w14:solidFill>
          </w14:textFill>
        </w:rPr>
        <w:t>25.34</w:t>
      </w:r>
      <w:r>
        <w:rPr>
          <w:rFonts w:hint="eastAsia" w:ascii="Times New Roman" w:hAnsi="Times New Roman" w:eastAsia="仿宋_GB2312"/>
          <w:color w:val="000000" w:themeColor="text1"/>
          <w:sz w:val="32"/>
          <w:szCs w:val="32"/>
          <w14:textFill>
            <w14:solidFill>
              <w14:schemeClr w14:val="tx1"/>
            </w14:solidFill>
          </w14:textFill>
        </w:rPr>
        <w:t>万元，</w:t>
      </w:r>
      <w:r>
        <w:rPr>
          <w:rFonts w:ascii="Times New Roman" w:hAnsi="Times New Roman" w:eastAsia="仿宋_GB2312" w:cs="Times New Roman"/>
          <w:sz w:val="32"/>
          <w:szCs w:val="32"/>
        </w:rPr>
        <w:t>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决算数等于预算数。</w:t>
      </w:r>
      <w:r>
        <w:rPr>
          <w:rFonts w:hint="eastAsia" w:ascii="仿宋_GB2312" w:hAnsi="仿宋_GB2312" w:eastAsia="仿宋_GB2312" w:cs="仿宋_GB2312"/>
          <w:color w:val="000000" w:themeColor="text1"/>
          <w:sz w:val="32"/>
          <w:szCs w:val="32"/>
          <w14:textFill>
            <w14:solidFill>
              <w14:schemeClr w14:val="tx1"/>
            </w14:solidFill>
          </w14:textFill>
        </w:rPr>
        <w:t>与上年相比</w:t>
      </w:r>
      <w:r>
        <w:rPr>
          <w:rFonts w:hint="eastAsia" w:ascii="仿宋_GB2312" w:hAnsi="仿宋_GB2312" w:eastAsia="仿宋_GB2312" w:cs="仿宋_GB2312"/>
          <w:color w:val="000000" w:themeColor="text1"/>
          <w:sz w:val="32"/>
          <w:szCs w:val="32"/>
          <w:lang w:eastAsia="zh-CN"/>
          <w14:textFill>
            <w14:solidFill>
              <w14:schemeClr w14:val="tx1"/>
            </w14:solidFill>
          </w14:textFill>
        </w:rPr>
        <w:t>增加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7.48</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增加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41.88</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增加</w:t>
      </w:r>
      <w:r>
        <w:rPr>
          <w:rFonts w:hint="eastAsia" w:ascii="仿宋_GB2312" w:hAnsi="仿宋_GB2312" w:eastAsia="仿宋_GB2312" w:cs="仿宋_GB2312"/>
          <w:color w:val="000000" w:themeColor="text1"/>
          <w:sz w:val="32"/>
          <w:szCs w:val="32"/>
          <w14:textFill>
            <w14:solidFill>
              <w14:schemeClr w14:val="tx1"/>
            </w14:solidFill>
          </w14:textFill>
        </w:rPr>
        <w:t>的主要原因是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w:t>
      </w:r>
      <w:r>
        <w:rPr>
          <w:rFonts w:hint="eastAsia" w:ascii="仿宋_GB2312" w:hAnsi="仿宋_GB2312" w:eastAsia="仿宋_GB2312" w:cs="仿宋_GB2312"/>
          <w:color w:val="000000" w:themeColor="text1"/>
          <w:sz w:val="32"/>
          <w:szCs w:val="32"/>
          <w14:textFill>
            <w14:solidFill>
              <w14:schemeClr w14:val="tx1"/>
            </w14:solidFill>
          </w14:textFill>
        </w:rPr>
        <w:t>财政提前关账，部分费用</w:t>
      </w:r>
      <w:r>
        <w:rPr>
          <w:rFonts w:hint="eastAsia" w:ascii="仿宋_GB2312" w:hAnsi="仿宋_GB2312" w:eastAsia="仿宋_GB2312" w:cs="仿宋_GB2312"/>
          <w:color w:val="000000" w:themeColor="text1"/>
          <w:sz w:val="32"/>
          <w:szCs w:val="32"/>
          <w:lang w:eastAsia="zh-CN"/>
          <w14:textFill>
            <w14:solidFill>
              <w14:schemeClr w14:val="tx1"/>
            </w14:solidFill>
          </w14:textFill>
        </w:rPr>
        <w:t>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w:t>
      </w:r>
      <w:r>
        <w:rPr>
          <w:rFonts w:hint="eastAsia" w:ascii="仿宋_GB2312" w:hAnsi="仿宋_GB2312" w:eastAsia="仿宋_GB2312" w:cs="仿宋_GB2312"/>
          <w:color w:val="000000" w:themeColor="text1"/>
          <w:sz w:val="32"/>
          <w:szCs w:val="32"/>
          <w14:textFill>
            <w14:solidFill>
              <w14:schemeClr w14:val="tx1"/>
            </w14:solidFill>
          </w14:textFill>
        </w:rPr>
        <w:t>支付。</w:t>
      </w:r>
      <w:r>
        <w:rPr>
          <w:rFonts w:hint="eastAsia" w:ascii="Times New Roman" w:hAnsi="Times New Roman" w:eastAsia="仿宋_GB2312"/>
          <w:color w:val="000000" w:themeColor="text1"/>
          <w:sz w:val="32"/>
          <w:szCs w:val="32"/>
          <w14:textFill>
            <w14:solidFill>
              <w14:schemeClr w14:val="tx1"/>
            </w14:solidFill>
          </w14:textFill>
        </w:rPr>
        <w:t>其中：公务用车购置费0万元，</w:t>
      </w:r>
      <w:r>
        <w:rPr>
          <w:rFonts w:hint="eastAsia" w:ascii="仿宋_GB2312" w:hAnsi="仿宋_GB2312" w:eastAsia="仿宋_GB2312" w:cs="仿宋_GB2312"/>
          <w:bCs/>
          <w:color w:val="000000" w:themeColor="text1"/>
          <w:sz w:val="32"/>
          <w:szCs w:val="32"/>
          <w14:textFill>
            <w14:solidFill>
              <w14:schemeClr w14:val="tx1"/>
            </w14:solidFill>
          </w14:textFill>
        </w:rPr>
        <w:t>当年没有购置公务用车</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与上年一致，无增减变动，主要原因是两年均未购置公务用车</w:t>
      </w:r>
      <w:r>
        <w:rPr>
          <w:rFonts w:hint="eastAsia" w:ascii="Times New Roman" w:hAnsi="Times New Roman" w:eastAsia="仿宋_GB2312"/>
          <w:color w:val="000000" w:themeColor="text1"/>
          <w:sz w:val="32"/>
          <w:szCs w:val="32"/>
          <w14:textFill>
            <w14:solidFill>
              <w14:schemeClr w14:val="tx1"/>
            </w14:solidFill>
          </w14:textFill>
        </w:rPr>
        <w:t>。公务用车运行维护费</w:t>
      </w:r>
      <w:r>
        <w:rPr>
          <w:rFonts w:ascii="Times New Roman" w:hAnsi="Times New Roman" w:eastAsia="仿宋_GB2312" w:cs="Times New Roman"/>
          <w:sz w:val="32"/>
          <w:szCs w:val="32"/>
        </w:rPr>
        <w:t>支出预算为</w:t>
      </w:r>
      <w:r>
        <w:rPr>
          <w:rFonts w:hint="eastAsia" w:ascii="Times New Roman" w:hAnsi="Times New Roman" w:eastAsia="仿宋_GB2312" w:cs="Times New Roman"/>
          <w:sz w:val="32"/>
          <w:szCs w:val="32"/>
          <w:lang w:val="en-US" w:eastAsia="zh-CN"/>
        </w:rPr>
        <w:t>25.34</w:t>
      </w:r>
      <w:r>
        <w:rPr>
          <w:rFonts w:ascii="Times New Roman" w:hAnsi="Times New Roman" w:eastAsia="仿宋_GB2312" w:cs="Times New Roman"/>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支出决算为</w:t>
      </w:r>
      <w:r>
        <w:rPr>
          <w:rFonts w:hint="eastAsia" w:ascii="Times New Roman" w:hAnsi="Times New Roman" w:eastAsia="仿宋_GB2312"/>
          <w:color w:val="000000" w:themeColor="text1"/>
          <w:sz w:val="32"/>
          <w:szCs w:val="32"/>
          <w:lang w:val="en-US" w:eastAsia="zh-CN"/>
          <w14:textFill>
            <w14:solidFill>
              <w14:schemeClr w14:val="tx1"/>
            </w14:solidFill>
          </w14:textFill>
        </w:rPr>
        <w:t>25.34</w:t>
      </w:r>
      <w:r>
        <w:rPr>
          <w:rFonts w:hint="eastAsia"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lang w:val="en-US" w:eastAsia="zh-CN"/>
          <w14:textFill>
            <w14:solidFill>
              <w14:schemeClr w14:val="tx1"/>
            </w14:solidFill>
          </w14:textFill>
        </w:rPr>
        <w:t>决算数等于预算数，主要原因是我单位严格按预算执行决算；</w:t>
      </w:r>
      <w:r>
        <w:rPr>
          <w:rFonts w:hint="eastAsia" w:ascii="仿宋_GB2312" w:hAnsi="仿宋_GB2312" w:eastAsia="仿宋_GB2312" w:cs="仿宋_GB2312"/>
          <w:color w:val="000000" w:themeColor="text1"/>
          <w:sz w:val="32"/>
          <w:szCs w:val="32"/>
          <w14:textFill>
            <w14:solidFill>
              <w14:schemeClr w14:val="tx1"/>
            </w14:solidFill>
          </w14:textFill>
        </w:rPr>
        <w:t>与上年相比</w:t>
      </w:r>
      <w:r>
        <w:rPr>
          <w:rFonts w:hint="eastAsia" w:ascii="仿宋_GB2312" w:hAnsi="仿宋_GB2312" w:eastAsia="仿宋_GB2312" w:cs="仿宋_GB2312"/>
          <w:color w:val="000000" w:themeColor="text1"/>
          <w:sz w:val="32"/>
          <w:szCs w:val="32"/>
          <w:lang w:eastAsia="zh-CN"/>
          <w14:textFill>
            <w14:solidFill>
              <w14:schemeClr w14:val="tx1"/>
            </w14:solidFill>
          </w14:textFill>
        </w:rPr>
        <w:t>增加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7.48</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增加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41.88</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增加</w:t>
      </w:r>
      <w:r>
        <w:rPr>
          <w:rFonts w:hint="eastAsia" w:ascii="仿宋_GB2312" w:hAnsi="仿宋_GB2312" w:eastAsia="仿宋_GB2312" w:cs="仿宋_GB2312"/>
          <w:color w:val="000000" w:themeColor="text1"/>
          <w:sz w:val="32"/>
          <w:szCs w:val="32"/>
          <w14:textFill>
            <w14:solidFill>
              <w14:schemeClr w14:val="tx1"/>
            </w14:solidFill>
          </w14:textFill>
        </w:rPr>
        <w:t>的主要原因是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w:t>
      </w:r>
      <w:r>
        <w:rPr>
          <w:rFonts w:hint="eastAsia" w:ascii="仿宋_GB2312" w:hAnsi="仿宋_GB2312" w:eastAsia="仿宋_GB2312" w:cs="仿宋_GB2312"/>
          <w:color w:val="000000" w:themeColor="text1"/>
          <w:sz w:val="32"/>
          <w:szCs w:val="32"/>
          <w14:textFill>
            <w14:solidFill>
              <w14:schemeClr w14:val="tx1"/>
            </w14:solidFill>
          </w14:textFill>
        </w:rPr>
        <w:t>财政提前关账，部分费用</w:t>
      </w:r>
      <w:r>
        <w:rPr>
          <w:rFonts w:hint="eastAsia" w:ascii="仿宋_GB2312" w:hAnsi="仿宋_GB2312" w:eastAsia="仿宋_GB2312" w:cs="仿宋_GB2312"/>
          <w:color w:val="000000" w:themeColor="text1"/>
          <w:sz w:val="32"/>
          <w:szCs w:val="32"/>
          <w:lang w:eastAsia="zh-CN"/>
          <w14:textFill>
            <w14:solidFill>
              <w14:schemeClr w14:val="tx1"/>
            </w14:solidFill>
          </w14:textFill>
        </w:rPr>
        <w:t>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w:t>
      </w:r>
      <w:r>
        <w:rPr>
          <w:rFonts w:hint="eastAsia" w:ascii="仿宋_GB2312" w:hAnsi="仿宋_GB2312" w:eastAsia="仿宋_GB2312" w:cs="仿宋_GB2312"/>
          <w:color w:val="000000" w:themeColor="text1"/>
          <w:sz w:val="32"/>
          <w:szCs w:val="32"/>
          <w14:textFill>
            <w14:solidFill>
              <w14:schemeClr w14:val="tx1"/>
            </w14:solidFill>
          </w14:textFill>
        </w:rPr>
        <w:t>支付。</w:t>
      </w:r>
      <w:r>
        <w:rPr>
          <w:rFonts w:hint="eastAsia" w:ascii="Times New Roman" w:hAnsi="Times New Roman" w:eastAsia="仿宋_GB2312"/>
          <w:color w:val="000000" w:themeColor="text1"/>
          <w:sz w:val="32"/>
          <w:szCs w:val="32"/>
          <w14:textFill>
            <w14:solidFill>
              <w14:schemeClr w14:val="tx1"/>
            </w14:solidFill>
          </w14:textFill>
        </w:rPr>
        <w:t>截止202</w:t>
      </w:r>
      <w:r>
        <w:rPr>
          <w:rFonts w:hint="eastAsia" w:ascii="Times New Roman" w:hAnsi="Times New Roman" w:eastAsia="仿宋_GB2312"/>
          <w:color w:val="000000" w:themeColor="text1"/>
          <w:sz w:val="32"/>
          <w:szCs w:val="32"/>
          <w:lang w:val="en-US" w:eastAsia="zh-CN"/>
          <w14:textFill>
            <w14:solidFill>
              <w14:schemeClr w14:val="tx1"/>
            </w14:solidFill>
          </w14:textFill>
        </w:rPr>
        <w:t>4</w:t>
      </w:r>
      <w:r>
        <w:rPr>
          <w:rFonts w:hint="eastAsia" w:ascii="Times New Roman" w:hAnsi="Times New Roman" w:eastAsia="仿宋_GB2312"/>
          <w:color w:val="000000" w:themeColor="text1"/>
          <w:sz w:val="32"/>
          <w:szCs w:val="32"/>
          <w14:textFill>
            <w14:solidFill>
              <w14:schemeClr w14:val="tx1"/>
            </w14:solidFill>
          </w14:textFill>
        </w:rPr>
        <w:t>年12月31日，我单位开支财政拨款的公务用车保有量为10辆。</w:t>
      </w:r>
      <w:r>
        <w:rPr>
          <w:rFonts w:hint="eastAsia" w:ascii="仿宋_GB2312" w:hAnsi="仿宋_GB2312" w:eastAsia="仿宋_GB2312" w:cs="仿宋_GB2312"/>
          <w:bCs/>
          <w:color w:val="000000" w:themeColor="text1"/>
          <w:kern w:val="0"/>
          <w:sz w:val="32"/>
          <w:szCs w:val="32"/>
          <w14:textFill>
            <w14:solidFill>
              <w14:schemeClr w14:val="tx1"/>
            </w14:solidFill>
          </w14:textFill>
        </w:rPr>
        <w:t xml:space="preserve">  </w:t>
      </w:r>
      <w:bookmarkStart w:id="10" w:name="_GoBack"/>
      <w:bookmarkEnd w:id="10"/>
    </w:p>
    <w:p w14:paraId="1472A7B3">
      <w:pPr>
        <w:pStyle w:val="15"/>
        <w:spacing w:line="600" w:lineRule="exact"/>
        <w:ind w:firstLine="640" w:firstLineChars="200"/>
        <w:rPr>
          <w:rFonts w:ascii="Times New Roman" w:hAnsi="Times New Roman" w:eastAsia="仿宋_GB2312"/>
          <w:b/>
          <w:color w:val="000000" w:themeColor="text1"/>
          <w:sz w:val="32"/>
          <w:szCs w:val="32"/>
          <w14:textFill>
            <w14:solidFill>
              <w14:schemeClr w14:val="tx1"/>
            </w14:solidFill>
          </w14:textFill>
        </w:rPr>
      </w:pPr>
      <w:r>
        <w:rPr>
          <w:rFonts w:hint="eastAsia" w:ascii="Times New Roman" w:hAnsi="Times New Roman" w:eastAsia="仿宋_GB2312"/>
          <w:b/>
          <w:color w:val="000000" w:themeColor="text1"/>
          <w:sz w:val="32"/>
          <w:szCs w:val="32"/>
          <w14:textFill>
            <w14:solidFill>
              <w14:schemeClr w14:val="tx1"/>
            </w14:solidFill>
          </w14:textFill>
        </w:rPr>
        <w:t>十、关于机关运行经费支出说明</w:t>
      </w:r>
    </w:p>
    <w:p w14:paraId="301B45B3">
      <w:pPr>
        <w:pStyle w:val="15"/>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本部门202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年度机关运行经费支出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211.09</w:t>
      </w:r>
      <w:r>
        <w:rPr>
          <w:rFonts w:hint="eastAsia" w:ascii="仿宋_GB2312" w:hAnsi="仿宋_GB2312" w:eastAsia="仿宋_GB2312" w:cs="仿宋_GB2312"/>
          <w:color w:val="000000" w:themeColor="text1"/>
          <w:sz w:val="32"/>
          <w:szCs w:val="32"/>
          <w14:textFill>
            <w14:solidFill>
              <w14:schemeClr w14:val="tx1"/>
            </w14:solidFill>
          </w14:textFill>
        </w:rPr>
        <w:t>万元，比上年决算数</w:t>
      </w:r>
      <w:r>
        <w:rPr>
          <w:rFonts w:hint="eastAsia" w:ascii="仿宋_GB2312" w:hAnsi="仿宋_GB2312" w:eastAsia="仿宋_GB2312" w:cs="仿宋_GB2312"/>
          <w:color w:val="000000" w:themeColor="text1"/>
          <w:sz w:val="32"/>
          <w:szCs w:val="32"/>
          <w:lang w:eastAsia="zh-CN"/>
          <w14:textFill>
            <w14:solidFill>
              <w14:schemeClr w14:val="tx1"/>
            </w14:solidFill>
          </w14:textFill>
        </w:rPr>
        <w:t>增加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11.27</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增加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5.64</w:t>
      </w:r>
      <w:r>
        <w:rPr>
          <w:rFonts w:hint="eastAsia" w:ascii="仿宋_GB2312" w:hAnsi="仿宋_GB2312" w:eastAsia="仿宋_GB2312" w:cs="仿宋_GB2312"/>
          <w:color w:val="000000" w:themeColor="text1"/>
          <w:sz w:val="32"/>
          <w:szCs w:val="32"/>
          <w14:textFill>
            <w14:solidFill>
              <w14:schemeClr w14:val="tx1"/>
            </w14:solidFill>
          </w14:textFill>
        </w:rPr>
        <w:t>%。主要原因是：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w:t>
      </w:r>
      <w:r>
        <w:rPr>
          <w:rFonts w:hint="eastAsia" w:ascii="仿宋_GB2312" w:hAnsi="仿宋_GB2312" w:eastAsia="仿宋_GB2312" w:cs="仿宋_GB2312"/>
          <w:color w:val="000000" w:themeColor="text1"/>
          <w:sz w:val="32"/>
          <w:szCs w:val="32"/>
          <w14:textFill>
            <w14:solidFill>
              <w14:schemeClr w14:val="tx1"/>
            </w14:solidFill>
          </w14:textFill>
        </w:rPr>
        <w:t>财政提前关账，部分费用</w:t>
      </w:r>
      <w:r>
        <w:rPr>
          <w:rFonts w:hint="eastAsia" w:ascii="仿宋_GB2312" w:hAnsi="仿宋_GB2312" w:eastAsia="仿宋_GB2312" w:cs="仿宋_GB2312"/>
          <w:color w:val="000000" w:themeColor="text1"/>
          <w:sz w:val="32"/>
          <w:szCs w:val="32"/>
          <w:lang w:eastAsia="zh-CN"/>
          <w14:textFill>
            <w14:solidFill>
              <w14:schemeClr w14:val="tx1"/>
            </w14:solidFill>
          </w14:textFill>
        </w:rPr>
        <w:t>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w:t>
      </w:r>
      <w:r>
        <w:rPr>
          <w:rFonts w:hint="eastAsia" w:ascii="仿宋_GB2312" w:hAnsi="仿宋_GB2312" w:eastAsia="仿宋_GB2312" w:cs="仿宋_GB2312"/>
          <w:color w:val="000000" w:themeColor="text1"/>
          <w:sz w:val="32"/>
          <w:szCs w:val="32"/>
          <w14:textFill>
            <w14:solidFill>
              <w14:schemeClr w14:val="tx1"/>
            </w14:solidFill>
          </w14:textFill>
        </w:rPr>
        <w:t>支付。</w:t>
      </w:r>
    </w:p>
    <w:p w14:paraId="48BE7298">
      <w:pPr>
        <w:pStyle w:val="15"/>
        <w:spacing w:line="600" w:lineRule="exact"/>
        <w:ind w:firstLine="640" w:firstLineChars="200"/>
        <w:rPr>
          <w:rFonts w:hint="eastAsia" w:hAnsi="黑体"/>
          <w:bCs/>
          <w:color w:val="000000" w:themeColor="text1"/>
          <w:sz w:val="32"/>
          <w:szCs w:val="32"/>
          <w14:textFill>
            <w14:solidFill>
              <w14:schemeClr w14:val="tx1"/>
            </w14:solidFill>
          </w14:textFill>
        </w:rPr>
      </w:pPr>
      <w:r>
        <w:rPr>
          <w:rFonts w:hint="eastAsia" w:hAnsi="黑体"/>
          <w:bCs/>
          <w:color w:val="000000" w:themeColor="text1"/>
          <w:sz w:val="32"/>
          <w:szCs w:val="32"/>
          <w14:textFill>
            <w14:solidFill>
              <w14:schemeClr w14:val="tx1"/>
            </w14:solidFill>
          </w14:textFill>
        </w:rPr>
        <w:t>十一、一般性支出情况说明</w:t>
      </w:r>
    </w:p>
    <w:p w14:paraId="520BDF76">
      <w:pPr>
        <w:pStyle w:val="15"/>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年度，会议费年初预算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万元，支出决算为0.5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万元，完成年初预算的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51</w:t>
      </w:r>
      <w:r>
        <w:rPr>
          <w:rFonts w:hint="eastAsia" w:ascii="仿宋_GB2312" w:hAnsi="仿宋_GB2312" w:eastAsia="仿宋_GB2312" w:cs="仿宋_GB2312"/>
          <w:color w:val="000000" w:themeColor="text1"/>
          <w:sz w:val="32"/>
          <w:szCs w:val="32"/>
          <w14:textFill>
            <w14:solidFill>
              <w14:schemeClr w14:val="tx1"/>
            </w14:solidFill>
          </w14:textFill>
        </w:rPr>
        <w:t>%。用于召开202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年度工作总结暨202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年度工作布置会议，人数1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人，内容为总结202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年度工作以及安排202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年度工作。</w:t>
      </w:r>
    </w:p>
    <w:p w14:paraId="13241338">
      <w:pPr>
        <w:autoSpaceDE w:val="0"/>
        <w:autoSpaceDN w:val="0"/>
        <w:adjustRightInd w:val="0"/>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培训费年初预算</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14:textFill>
            <w14:solidFill>
              <w14:schemeClr w14:val="tx1"/>
            </w14:solidFill>
          </w14:textFill>
        </w:rPr>
        <w:t>万元，支出决算为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4.66</w:t>
      </w:r>
      <w:r>
        <w:rPr>
          <w:rFonts w:hint="eastAsia" w:ascii="仿宋_GB2312" w:hAnsi="仿宋_GB2312" w:eastAsia="仿宋_GB2312" w:cs="仿宋_GB2312"/>
          <w:color w:val="000000" w:themeColor="text1"/>
          <w:kern w:val="0"/>
          <w:sz w:val="32"/>
          <w:szCs w:val="32"/>
          <w14:textFill>
            <w14:solidFill>
              <w14:schemeClr w14:val="tx1"/>
            </w14:solidFill>
          </w14:textFill>
        </w:rPr>
        <w:t>万元，完成年初预算的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233</w:t>
      </w:r>
      <w:r>
        <w:rPr>
          <w:rFonts w:hint="eastAsia" w:ascii="仿宋_GB2312" w:hAnsi="仿宋_GB2312" w:eastAsia="仿宋_GB2312" w:cs="仿宋_GB2312"/>
          <w:color w:val="000000" w:themeColor="text1"/>
          <w:kern w:val="0"/>
          <w:sz w:val="32"/>
          <w:szCs w:val="32"/>
          <w14:textFill>
            <w14:solidFill>
              <w14:schemeClr w14:val="tx1"/>
            </w14:solidFill>
          </w14:textFill>
        </w:rPr>
        <w:t>%。用于开展</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城管执法业务、党校培训等</w:t>
      </w:r>
      <w:r>
        <w:rPr>
          <w:rFonts w:hint="eastAsia" w:ascii="仿宋_GB2312" w:hAnsi="仿宋_GB2312" w:eastAsia="仿宋_GB2312" w:cs="仿宋_GB2312"/>
          <w:color w:val="000000" w:themeColor="text1"/>
          <w:kern w:val="0"/>
          <w:sz w:val="32"/>
          <w:szCs w:val="32"/>
          <w14:textFill>
            <w14:solidFill>
              <w14:schemeClr w14:val="tx1"/>
            </w14:solidFill>
          </w14:textFill>
        </w:rPr>
        <w:t>，人数</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kern w:val="0"/>
          <w:sz w:val="32"/>
          <w:szCs w:val="32"/>
          <w14:textFill>
            <w14:solidFill>
              <w14:schemeClr w14:val="tx1"/>
            </w14:solidFill>
          </w14:textFill>
        </w:rPr>
        <w:t>人，内容为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城管执法业务、法律法规培训、党校培训等</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14:paraId="24DAC8DD">
      <w:pPr>
        <w:autoSpaceDE w:val="0"/>
        <w:autoSpaceDN w:val="0"/>
        <w:adjustRightInd w:val="0"/>
        <w:ind w:firstLine="640" w:firstLineChars="200"/>
        <w:rPr>
          <w:rFonts w:hint="eastAsia" w:ascii="仿宋_GB2312" w:hAnsi="仿宋_GB2312" w:eastAsia="仿宋_GB2312" w:cs="仿宋_GB2312"/>
          <w:b/>
          <w:bCs/>
          <w:i/>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本单位无举办节庆、晚会、论坛、赛事等活动的预算和支出决算数。</w:t>
      </w:r>
    </w:p>
    <w:p w14:paraId="3CE18038">
      <w:pPr>
        <w:pStyle w:val="15"/>
        <w:spacing w:line="600" w:lineRule="exact"/>
        <w:ind w:firstLine="640" w:firstLineChars="200"/>
        <w:rPr>
          <w:rFonts w:hint="eastAsia" w:hAnsi="黑体"/>
          <w:bCs/>
          <w:color w:val="000000" w:themeColor="text1"/>
          <w:sz w:val="32"/>
          <w:szCs w:val="32"/>
          <w14:textFill>
            <w14:solidFill>
              <w14:schemeClr w14:val="tx1"/>
            </w14:solidFill>
          </w14:textFill>
        </w:rPr>
      </w:pPr>
      <w:r>
        <w:rPr>
          <w:rFonts w:hint="eastAsia" w:hAnsi="黑体"/>
          <w:bCs/>
          <w:color w:val="000000" w:themeColor="text1"/>
          <w:sz w:val="32"/>
          <w:szCs w:val="32"/>
          <w14:textFill>
            <w14:solidFill>
              <w14:schemeClr w14:val="tx1"/>
            </w14:solidFill>
          </w14:textFill>
        </w:rPr>
        <w:t>十二、关于政府采购支出说明</w:t>
      </w:r>
    </w:p>
    <w:p w14:paraId="403ABBCA">
      <w:pPr>
        <w:autoSpaceDE w:val="0"/>
        <w:autoSpaceDN w:val="0"/>
        <w:adjustRightInd w:val="0"/>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本部门202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年度政府采购支出总额</w:t>
      </w:r>
      <w:r>
        <w:rPr>
          <w:rFonts w:hint="eastAsia" w:ascii="仿宋_GB2312" w:hAnsi="仿宋_GB2312" w:eastAsia="仿宋_GB2312" w:cs="仿宋_GB2312"/>
          <w:color w:val="auto"/>
          <w:sz w:val="32"/>
          <w:szCs w:val="32"/>
          <w:lang w:val="en-US" w:eastAsia="zh-CN"/>
        </w:rPr>
        <w:t>415</w:t>
      </w:r>
      <w:r>
        <w:rPr>
          <w:rFonts w:hint="eastAsia" w:ascii="仿宋_GB2312" w:hAnsi="仿宋_GB2312" w:eastAsia="仿宋_GB2312" w:cs="仿宋_GB2312"/>
          <w:color w:val="auto"/>
          <w:sz w:val="32"/>
          <w:szCs w:val="32"/>
        </w:rPr>
        <w:t>万元，其中：政府采购货物支出</w:t>
      </w:r>
      <w:r>
        <w:rPr>
          <w:rFonts w:hint="eastAsia" w:ascii="仿宋_GB2312" w:hAnsi="仿宋_GB2312" w:eastAsia="仿宋_GB2312" w:cs="仿宋_GB2312"/>
          <w:color w:val="auto"/>
          <w:sz w:val="32"/>
          <w:szCs w:val="32"/>
          <w:lang w:val="en-US" w:eastAsia="zh-CN"/>
        </w:rPr>
        <w:t>144</w:t>
      </w:r>
      <w:r>
        <w:rPr>
          <w:rFonts w:hint="eastAsia" w:ascii="仿宋_GB2312" w:hAnsi="仿宋_GB2312" w:eastAsia="仿宋_GB2312" w:cs="仿宋_GB2312"/>
          <w:color w:val="auto"/>
          <w:sz w:val="32"/>
          <w:szCs w:val="32"/>
        </w:rPr>
        <w:t>万元、政府采购工程支出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万元、政府采购服务支出</w:t>
      </w:r>
      <w:r>
        <w:rPr>
          <w:rFonts w:hint="eastAsia" w:ascii="仿宋_GB2312" w:hAnsi="仿宋_GB2312" w:eastAsia="仿宋_GB2312" w:cs="仿宋_GB2312"/>
          <w:color w:val="auto"/>
          <w:sz w:val="32"/>
          <w:szCs w:val="32"/>
          <w:lang w:val="en-US" w:eastAsia="zh-CN"/>
        </w:rPr>
        <w:t>271</w:t>
      </w:r>
      <w:r>
        <w:rPr>
          <w:rFonts w:hint="eastAsia" w:ascii="仿宋_GB2312" w:hAnsi="仿宋_GB2312" w:eastAsia="仿宋_GB2312" w:cs="仿宋_GB2312"/>
          <w:color w:val="auto"/>
          <w:sz w:val="32"/>
          <w:szCs w:val="32"/>
        </w:rPr>
        <w:t>万元。授予中小企业合同金额4</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万元，占政府采购支出总额的100%，其中：授予小微企业合同金额4</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万元，占授予中小企业合同金额的100 %。货物采购授予中小企业合同金额占货物支出金额的100%，工程采购授予中小企业合同金额占工程支出金额的100%，服务采购授予中小企业合同金额占服务支出金额的100%。</w:t>
      </w:r>
    </w:p>
    <w:p w14:paraId="7E803C9E">
      <w:pPr>
        <w:pStyle w:val="15"/>
        <w:spacing w:line="580" w:lineRule="exact"/>
        <w:ind w:firstLine="640" w:firstLineChars="200"/>
        <w:rPr>
          <w:rFonts w:hint="eastAsia" w:hAnsi="黑体"/>
          <w:bCs/>
          <w:color w:val="000000" w:themeColor="text1"/>
          <w:sz w:val="32"/>
          <w:szCs w:val="32"/>
          <w14:textFill>
            <w14:solidFill>
              <w14:schemeClr w14:val="tx1"/>
            </w14:solidFill>
          </w14:textFill>
        </w:rPr>
      </w:pPr>
      <w:r>
        <w:rPr>
          <w:rFonts w:hint="eastAsia" w:hAnsi="黑体"/>
          <w:bCs/>
          <w:color w:val="000000" w:themeColor="text1"/>
          <w:sz w:val="32"/>
          <w:szCs w:val="32"/>
          <w14:textFill>
            <w14:solidFill>
              <w14:schemeClr w14:val="tx1"/>
            </w14:solidFill>
          </w14:textFill>
        </w:rPr>
        <w:t>十三、关于国有资产占用情况说明</w:t>
      </w:r>
    </w:p>
    <w:p w14:paraId="2CB06CBE">
      <w:pPr>
        <w:pStyle w:val="15"/>
        <w:spacing w:line="58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截至202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12月31日，本单位共有车辆10辆，其中，主要领导干部用车0辆，机要通信用车1辆、应急保障用车0辆、执法执勤用车7辆、特种专业技术用车0辆、其他用车2辆，其他用车主要是皮卡车；单位价值50万元以上通用设备0台（套）；单位价值100万元以上专用设备0台（套）。</w:t>
      </w:r>
    </w:p>
    <w:p w14:paraId="0B93A016">
      <w:pPr>
        <w:pStyle w:val="15"/>
        <w:spacing w:line="580" w:lineRule="exact"/>
        <w:ind w:firstLine="640" w:firstLineChars="200"/>
        <w:rPr>
          <w:rFonts w:hint="eastAsia" w:hAnsi="黑体"/>
          <w:bCs/>
          <w:color w:val="000000" w:themeColor="text1"/>
          <w:sz w:val="32"/>
          <w:szCs w:val="32"/>
          <w14:textFill>
            <w14:solidFill>
              <w14:schemeClr w14:val="tx1"/>
            </w14:solidFill>
          </w14:textFill>
        </w:rPr>
      </w:pPr>
      <w:r>
        <w:rPr>
          <w:rFonts w:hint="eastAsia" w:hAnsi="黑体"/>
          <w:bCs/>
          <w:color w:val="000000" w:themeColor="text1"/>
          <w:sz w:val="32"/>
          <w:szCs w:val="32"/>
          <w14:textFill>
            <w14:solidFill>
              <w14:schemeClr w14:val="tx1"/>
            </w14:solidFill>
          </w14:textFill>
        </w:rPr>
        <w:t>十四、关于</w:t>
      </w:r>
      <w:r>
        <w:rPr>
          <w:rFonts w:hint="eastAsia" w:ascii="Times New Roman" w:hAnsi="Times New Roman" w:eastAsia="仿宋_GB2312"/>
          <w:color w:val="000000" w:themeColor="text1"/>
          <w:sz w:val="32"/>
          <w:szCs w:val="32"/>
          <w14:textFill>
            <w14:solidFill>
              <w14:schemeClr w14:val="tx1"/>
            </w14:solidFill>
          </w14:textFill>
        </w:rPr>
        <w:t>202</w:t>
      </w:r>
      <w:r>
        <w:rPr>
          <w:rFonts w:hint="eastAsia" w:ascii="Times New Roman" w:hAnsi="Times New Roman" w:eastAsia="仿宋_GB2312"/>
          <w:color w:val="000000" w:themeColor="text1"/>
          <w:sz w:val="32"/>
          <w:szCs w:val="32"/>
          <w:lang w:val="en-US" w:eastAsia="zh-CN"/>
          <w14:textFill>
            <w14:solidFill>
              <w14:schemeClr w14:val="tx1"/>
            </w14:solidFill>
          </w14:textFill>
        </w:rPr>
        <w:t>4</w:t>
      </w:r>
      <w:r>
        <w:rPr>
          <w:rFonts w:hint="eastAsia" w:hAnsi="黑体"/>
          <w:bCs/>
          <w:color w:val="000000" w:themeColor="text1"/>
          <w:sz w:val="32"/>
          <w:szCs w:val="32"/>
          <w14:textFill>
            <w14:solidFill>
              <w14:schemeClr w14:val="tx1"/>
            </w14:solidFill>
          </w14:textFill>
        </w:rPr>
        <w:t>年度预算绩效</w:t>
      </w:r>
      <w:r>
        <w:rPr>
          <w:rFonts w:hint="eastAsia" w:hAnsi="黑体"/>
          <w:bCs/>
          <w:color w:val="000000" w:themeColor="text1"/>
          <w:sz w:val="32"/>
          <w:szCs w:val="32"/>
          <w:lang w:val="en-US" w:eastAsia="zh-CN"/>
          <w14:textFill>
            <w14:solidFill>
              <w14:schemeClr w14:val="tx1"/>
            </w14:solidFill>
          </w14:textFill>
        </w:rPr>
        <w:t>管理</w:t>
      </w:r>
      <w:r>
        <w:rPr>
          <w:rFonts w:hint="eastAsia" w:hAnsi="黑体"/>
          <w:bCs/>
          <w:color w:val="000000" w:themeColor="text1"/>
          <w:sz w:val="32"/>
          <w:szCs w:val="32"/>
          <w14:textFill>
            <w14:solidFill>
              <w14:schemeClr w14:val="tx1"/>
            </w14:solidFill>
          </w14:textFill>
        </w:rPr>
        <w:t>情况的说明</w:t>
      </w:r>
    </w:p>
    <w:p w14:paraId="0EB60D67">
      <w:pPr>
        <w:overflowPunct w:val="0"/>
        <w:spacing w:line="600" w:lineRule="exact"/>
        <w:ind w:firstLine="640"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（一）绩效评价工作开展情况</w:t>
      </w:r>
    </w:p>
    <w:p w14:paraId="4AC3C24D">
      <w:pPr>
        <w:pStyle w:val="15"/>
        <w:spacing w:line="580" w:lineRule="exact"/>
        <w:ind w:firstLine="640" w:firstLineChars="200"/>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lang w:val="en-US" w:eastAsia="zh-CN"/>
        </w:rPr>
        <w:t>1.</w:t>
      </w:r>
      <w:r>
        <w:rPr>
          <w:rFonts w:hint="eastAsia" w:ascii="Times New Roman" w:hAnsi="Times New Roman" w:eastAsia="仿宋_GB2312" w:cs="Times New Roman"/>
          <w:b/>
          <w:bCs/>
          <w:kern w:val="0"/>
          <w:sz w:val="32"/>
          <w:szCs w:val="32"/>
          <w:highlight w:val="none"/>
          <w:lang w:val="en-US" w:eastAsia="zh-CN"/>
        </w:rPr>
        <w:t>绩</w:t>
      </w:r>
      <w:r>
        <w:rPr>
          <w:rFonts w:ascii="Times New Roman" w:hAnsi="Times New Roman" w:eastAsia="仿宋_GB2312" w:cs="Times New Roman"/>
          <w:b/>
          <w:bCs/>
          <w:kern w:val="0"/>
          <w:sz w:val="32"/>
          <w:szCs w:val="32"/>
          <w:highlight w:val="none"/>
        </w:rPr>
        <w:t>效自评开展情况。</w:t>
      </w:r>
      <w:r>
        <w:rPr>
          <w:rFonts w:ascii="Times New Roman" w:hAnsi="Times New Roman" w:eastAsia="仿宋_GB2312" w:cs="Times New Roman"/>
          <w:kern w:val="0"/>
          <w:sz w:val="32"/>
          <w:szCs w:val="32"/>
          <w:highlight w:val="none"/>
        </w:rPr>
        <w:t>组织对2024年度本部门（单位）整体支出开展绩效自评，涉及项目</w:t>
      </w:r>
      <w:r>
        <w:rPr>
          <w:rFonts w:hint="eastAsia" w:ascii="Times New Roman" w:hAnsi="Times New Roman" w:eastAsia="仿宋_GB2312" w:cs="Times New Roman"/>
          <w:kern w:val="0"/>
          <w:sz w:val="32"/>
          <w:szCs w:val="32"/>
          <w:highlight w:val="none"/>
          <w:lang w:val="en-US" w:eastAsia="zh-CN"/>
        </w:rPr>
        <w:t>2</w:t>
      </w:r>
      <w:r>
        <w:rPr>
          <w:rFonts w:ascii="Times New Roman" w:hAnsi="Times New Roman" w:eastAsia="仿宋_GB2312" w:cs="Times New Roman"/>
          <w:kern w:val="0"/>
          <w:sz w:val="32"/>
          <w:szCs w:val="32"/>
          <w:highlight w:val="none"/>
        </w:rPr>
        <w:t>个，共涉及资金</w:t>
      </w:r>
      <w:r>
        <w:rPr>
          <w:rFonts w:hint="eastAsia" w:ascii="Times New Roman" w:hAnsi="Times New Roman" w:eastAsia="仿宋_GB2312" w:cs="Times New Roman"/>
          <w:kern w:val="0"/>
          <w:sz w:val="32"/>
          <w:szCs w:val="32"/>
          <w:highlight w:val="none"/>
          <w:lang w:val="en-US" w:eastAsia="zh-CN"/>
        </w:rPr>
        <w:t>272.32</w:t>
      </w:r>
      <w:r>
        <w:rPr>
          <w:rFonts w:ascii="Times New Roman" w:hAnsi="Times New Roman" w:eastAsia="仿宋_GB2312" w:cs="Times New Roman"/>
          <w:kern w:val="0"/>
          <w:sz w:val="32"/>
          <w:szCs w:val="32"/>
          <w:highlight w:val="none"/>
        </w:rPr>
        <w:t>万元。</w:t>
      </w:r>
      <w:r>
        <w:rPr>
          <w:rFonts w:ascii="Times New Roman" w:hAnsi="Times New Roman" w:eastAsia="仿宋_GB2312" w:cs="Times New Roman"/>
          <w:kern w:val="0"/>
          <w:sz w:val="32"/>
          <w:szCs w:val="32"/>
        </w:rPr>
        <w:t>其中，一般公共预算项目</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272.32</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lang w:val="en-US" w:eastAsia="zh-CN"/>
        </w:rPr>
        <w:t>13.99</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万元，占政府性基金预算支出总额的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万元，占国有资本经营预算支出总额的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r>
        <w:rPr>
          <w:rFonts w:ascii="Times New Roman" w:hAnsi="Times New Roman" w:eastAsia="仿宋_GB2312" w:cs="Times New Roman"/>
          <w:kern w:val="0"/>
          <w:sz w:val="32"/>
          <w:szCs w:val="32"/>
          <w:highlight w:val="none"/>
        </w:rPr>
        <w:t>社会保险基金预算项目</w:t>
      </w:r>
      <w:r>
        <w:rPr>
          <w:rFonts w:hint="eastAsia" w:ascii="Times New Roman" w:hAnsi="Times New Roman" w:eastAsia="仿宋_GB2312" w:cs="Times New Roman"/>
          <w:kern w:val="0"/>
          <w:sz w:val="32"/>
          <w:szCs w:val="32"/>
          <w:highlight w:val="none"/>
          <w:lang w:val="en-US" w:eastAsia="zh-CN"/>
        </w:rPr>
        <w:t>0</w:t>
      </w:r>
      <w:r>
        <w:rPr>
          <w:rFonts w:ascii="Times New Roman" w:hAnsi="Times New Roman" w:eastAsia="仿宋_GB2312" w:cs="Times New Roman"/>
          <w:kern w:val="0"/>
          <w:sz w:val="32"/>
          <w:szCs w:val="32"/>
          <w:highlight w:val="none"/>
        </w:rPr>
        <w:t>个</w:t>
      </w:r>
      <w:r>
        <w:rPr>
          <w:rFonts w:hint="eastAsia" w:ascii="Times New Roman" w:hAnsi="Times New Roman" w:eastAsia="仿宋_GB2312" w:cs="Times New Roman"/>
          <w:kern w:val="0"/>
          <w:sz w:val="32"/>
          <w:szCs w:val="32"/>
          <w:highlight w:val="none"/>
          <w:lang w:val="en-US" w:eastAsia="zh-CN"/>
        </w:rPr>
        <w:t>0</w:t>
      </w:r>
      <w:r>
        <w:rPr>
          <w:rFonts w:ascii="Times New Roman" w:hAnsi="Times New Roman" w:eastAsia="仿宋_GB2312" w:cs="Times New Roman"/>
          <w:kern w:val="0"/>
          <w:sz w:val="32"/>
          <w:szCs w:val="32"/>
          <w:highlight w:val="none"/>
        </w:rPr>
        <w:t>万元，占社会保险基金预算支出总额的</w:t>
      </w:r>
      <w:r>
        <w:rPr>
          <w:rFonts w:hint="eastAsia" w:ascii="Times New Roman" w:hAnsi="Times New Roman" w:eastAsia="仿宋_GB2312" w:cs="Times New Roman"/>
          <w:kern w:val="0"/>
          <w:sz w:val="32"/>
          <w:szCs w:val="32"/>
          <w:highlight w:val="none"/>
          <w:lang w:val="en-US" w:eastAsia="zh-CN"/>
        </w:rPr>
        <w:t>0</w:t>
      </w:r>
      <w:r>
        <w:rPr>
          <w:rFonts w:ascii="Times New Roman" w:hAnsi="Times New Roman" w:eastAsia="仿宋_GB2312" w:cs="Times New Roman"/>
          <w:kern w:val="0"/>
          <w:sz w:val="32"/>
          <w:szCs w:val="32"/>
          <w:highlight w:val="none"/>
        </w:rPr>
        <w:t>%。</w:t>
      </w:r>
    </w:p>
    <w:p w14:paraId="535D99A6">
      <w:pPr>
        <w:pStyle w:val="15"/>
        <w:spacing w:line="580" w:lineRule="exact"/>
        <w:ind w:firstLine="640" w:firstLineChars="200"/>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kern w:val="0"/>
          <w:sz w:val="32"/>
          <w:szCs w:val="32"/>
          <w:highlight w:val="none"/>
          <w:lang w:val="en-US" w:eastAsia="zh-CN"/>
        </w:rPr>
        <w:t>2.</w:t>
      </w:r>
      <w:r>
        <w:rPr>
          <w:rFonts w:ascii="Times New Roman" w:hAnsi="Times New Roman" w:eastAsia="仿宋_GB2312" w:cs="Times New Roman"/>
          <w:b/>
          <w:bCs/>
          <w:kern w:val="0"/>
          <w:sz w:val="32"/>
          <w:szCs w:val="32"/>
        </w:rPr>
        <w:t>部门评价开展情况</w:t>
      </w:r>
      <w:r>
        <w:rPr>
          <w:rFonts w:hint="eastAsia" w:ascii="Times New Roman" w:hAnsi="Times New Roman" w:eastAsia="仿宋_GB2312" w:cs="Times New Roman"/>
          <w:b/>
          <w:bCs/>
          <w:kern w:val="0"/>
          <w:sz w:val="32"/>
          <w:szCs w:val="32"/>
          <w:lang w:eastAsia="zh-CN"/>
        </w:rPr>
        <w:t>。</w:t>
      </w:r>
      <w:r>
        <w:rPr>
          <w:rFonts w:hint="eastAsia" w:ascii="Times New Roman" w:hAnsi="Times New Roman" w:eastAsia="仿宋_GB2312" w:cs="Times New Roman"/>
          <w:color w:val="auto"/>
          <w:kern w:val="0"/>
          <w:sz w:val="32"/>
          <w:szCs w:val="32"/>
          <w:lang w:val="en-US" w:eastAsia="zh-CN"/>
        </w:rPr>
        <w:t>本单位为二级预算单位，部门评价开展情况可详见上级部门决算公开说明。</w:t>
      </w:r>
    </w:p>
    <w:p w14:paraId="0A0A9D1C">
      <w:pPr>
        <w:pStyle w:val="15"/>
        <w:spacing w:line="580" w:lineRule="exact"/>
        <w:ind w:firstLine="640" w:firstLineChars="200"/>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3.</w:t>
      </w:r>
      <w:r>
        <w:rPr>
          <w:rFonts w:hint="eastAsia" w:ascii="Times New Roman" w:hAnsi="Times New Roman" w:eastAsia="仿宋_GB2312" w:cs="Times New Roman"/>
          <w:b/>
          <w:bCs/>
          <w:color w:val="auto"/>
          <w:kern w:val="0"/>
          <w:sz w:val="32"/>
          <w:szCs w:val="32"/>
          <w:lang w:val="en-US" w:eastAsia="zh-CN"/>
        </w:rPr>
        <w:t>事前绩效评估开展情况。</w:t>
      </w:r>
      <w:r>
        <w:rPr>
          <w:rFonts w:hint="eastAsia" w:ascii="Times New Roman" w:hAnsi="Times New Roman" w:eastAsia="仿宋_GB2312" w:cs="Times New Roman"/>
          <w:color w:val="auto"/>
          <w:kern w:val="0"/>
          <w:sz w:val="32"/>
          <w:szCs w:val="32"/>
          <w:lang w:val="en-US" w:eastAsia="zh-CN"/>
        </w:rPr>
        <w:t>本单位为二级预算单位，事前绩效评估开展情况可详见上级部门决算公开说明。</w:t>
      </w:r>
    </w:p>
    <w:p w14:paraId="6FC8205B">
      <w:pPr>
        <w:overflowPunct w:val="0"/>
        <w:spacing w:line="600" w:lineRule="exact"/>
        <w:ind w:firstLine="640"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（二）绩效评价结果</w:t>
      </w:r>
    </w:p>
    <w:p w14:paraId="54913553">
      <w:pPr>
        <w:autoSpaceDE w:val="0"/>
        <w:autoSpaceDN w:val="0"/>
        <w:adjustRightInd w:val="0"/>
        <w:ind w:firstLine="640" w:firstLineChars="200"/>
        <w:jc w:val="left"/>
        <w:rPr>
          <w:rFonts w:hint="eastAsia" w:ascii="楷体" w:hAnsi="楷体" w:eastAsia="楷体" w:cs="楷体"/>
          <w:b/>
          <w:bCs/>
          <w:color w:val="000000" w:themeColor="text1"/>
          <w:kern w:val="0"/>
          <w:sz w:val="36"/>
          <w:szCs w:val="36"/>
          <w14:textFill>
            <w14:solidFill>
              <w14:schemeClr w14:val="tx1"/>
            </w14:solidFill>
          </w14:textFill>
        </w:rPr>
      </w:pPr>
      <w:r>
        <w:rPr>
          <w:rFonts w:hint="eastAsia" w:ascii="Times New Roman" w:hAnsi="Times New Roman" w:eastAsia="仿宋_GB2312" w:cs="Times New Roman"/>
          <w:kern w:val="0"/>
          <w:sz w:val="32"/>
          <w:szCs w:val="32"/>
          <w:lang w:val="en-US" w:eastAsia="zh-CN"/>
        </w:rPr>
        <w:t>1.</w:t>
      </w:r>
      <w:r>
        <w:rPr>
          <w:rFonts w:ascii="Times New Roman" w:hAnsi="Times New Roman" w:eastAsia="仿宋_GB2312" w:cs="Times New Roman"/>
          <w:b/>
          <w:bCs/>
          <w:kern w:val="0"/>
          <w:sz w:val="32"/>
          <w:szCs w:val="32"/>
        </w:rPr>
        <w:t>绩效自评结果。</w:t>
      </w:r>
      <w:r>
        <w:rPr>
          <w:rFonts w:ascii="Times New Roman" w:hAnsi="Times New Roman" w:eastAsia="仿宋_GB2312" w:cs="Times New Roman"/>
          <w:kern w:val="0"/>
          <w:sz w:val="32"/>
          <w:szCs w:val="32"/>
        </w:rPr>
        <w:t>2024年度本部门（单位）整体支出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2022.39</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1946.64</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96.25</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lang w:val="en-US" w:eastAsia="zh-CN"/>
        </w:rPr>
        <w:t>97.63</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优秀</w:t>
      </w:r>
      <w:r>
        <w:rPr>
          <w:rFonts w:ascii="Times New Roman" w:hAnsi="Times New Roman" w:eastAsia="仿宋_GB2312" w:cs="Times New Roman"/>
          <w:sz w:val="32"/>
          <w:szCs w:val="32"/>
        </w:rPr>
        <w:t>”。绩效目标完成情况：一是</w:t>
      </w:r>
      <w:r>
        <w:rPr>
          <w:rFonts w:hint="eastAsia" w:ascii="Times New Roman" w:hAnsi="Times New Roman" w:eastAsia="仿宋_GB2312" w:cs="Times New Roman"/>
          <w:sz w:val="32"/>
          <w:szCs w:val="32"/>
          <w:lang w:eastAsia="zh-CN"/>
        </w:rPr>
        <w:t>贯彻执行国家有关城市管理方面的法律法规、规章</w:t>
      </w:r>
      <w:r>
        <w:rPr>
          <w:rFonts w:hint="eastAsia" w:ascii="Times New Roman" w:hAnsi="Times New Roman" w:eastAsia="仿宋_GB2312" w:cs="Times New Roman"/>
          <w:sz w:val="32"/>
          <w:szCs w:val="32"/>
          <w:lang w:val="en-US" w:eastAsia="zh-CN"/>
        </w:rPr>
        <w:t>等</w:t>
      </w:r>
      <w:r>
        <w:rPr>
          <w:rFonts w:hint="eastAsia" w:ascii="Times New Roman" w:hAnsi="Times New Roman" w:eastAsia="仿宋_GB2312" w:cs="Times New Roman"/>
          <w:sz w:val="32"/>
          <w:szCs w:val="32"/>
          <w:lang w:eastAsia="zh-CN"/>
        </w:rPr>
        <w:t>政策规定</w:t>
      </w:r>
      <w:r>
        <w:rPr>
          <w:rFonts w:hint="eastAsia" w:ascii="Times New Roman" w:hAnsi="Times New Roman" w:eastAsia="仿宋_GB2312" w:cs="Times New Roman"/>
          <w:sz w:val="32"/>
          <w:szCs w:val="32"/>
          <w:lang w:val="en-US" w:eastAsia="zh-CN"/>
        </w:rPr>
        <w:t>效果良好，</w:t>
      </w:r>
      <w:r>
        <w:rPr>
          <w:rFonts w:hint="eastAsia" w:ascii="Times New Roman" w:hAnsi="Times New Roman" w:eastAsia="仿宋_GB2312" w:cs="Times New Roman"/>
          <w:sz w:val="32"/>
          <w:szCs w:val="32"/>
          <w:lang w:eastAsia="zh-CN"/>
        </w:rPr>
        <w:t>行政执法程序合法合规，以事实为依据，以法律为准绳，全年无法律纠纷</w:t>
      </w:r>
      <w:r>
        <w:rPr>
          <w:rFonts w:ascii="Times New Roman" w:hAnsi="Times New Roman" w:eastAsia="仿宋_GB2312" w:cs="Times New Roman"/>
          <w:sz w:val="32"/>
          <w:szCs w:val="32"/>
        </w:rPr>
        <w:t>；二是</w:t>
      </w:r>
      <w:r>
        <w:rPr>
          <w:rFonts w:hint="eastAsia" w:ascii="仿宋_GB2312" w:hAnsi="仿宋_GB2312" w:eastAsia="仿宋_GB2312" w:cs="仿宋_GB2312"/>
          <w:color w:val="000000"/>
          <w:sz w:val="32"/>
          <w:szCs w:val="32"/>
          <w:lang w:val="en-US" w:eastAsia="zh-CN"/>
        </w:rPr>
        <w:t>依法行使</w:t>
      </w:r>
      <w:r>
        <w:rPr>
          <w:rFonts w:hint="eastAsia" w:ascii="仿宋_GB2312" w:hAnsi="仿宋_GB2312" w:eastAsia="仿宋_GB2312" w:cs="仿宋_GB2312"/>
          <w:color w:val="000000"/>
          <w:sz w:val="32"/>
          <w:szCs w:val="32"/>
          <w:highlight w:val="none"/>
        </w:rPr>
        <w:t>市本级管理权限范围内</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城市管理方面的行政处罚权及相应的行政强制权</w:t>
      </w:r>
      <w:r>
        <w:rPr>
          <w:rFonts w:hint="eastAsia" w:ascii="仿宋_GB2312" w:hAnsi="仿宋_GB2312" w:eastAsia="仿宋_GB2312" w:cs="仿宋_GB2312"/>
          <w:color w:val="000000"/>
          <w:sz w:val="32"/>
          <w:szCs w:val="32"/>
          <w:highlight w:val="none"/>
          <w:lang w:eastAsia="zh-CN"/>
        </w:rPr>
        <w:t>，违规行为得到及时处置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执法合法合规，效果良好；三是</w:t>
      </w:r>
      <w:r>
        <w:rPr>
          <w:rFonts w:hint="eastAsia" w:ascii="仿宋_GB2312" w:hAnsi="仿宋_GB2312" w:eastAsia="仿宋_GB2312" w:cs="仿宋_GB2312"/>
          <w:color w:val="000000"/>
          <w:sz w:val="32"/>
          <w:szCs w:val="32"/>
          <w:lang w:val="en-US" w:eastAsia="zh-CN"/>
        </w:rPr>
        <w:t>进一步规范了</w:t>
      </w:r>
      <w:r>
        <w:rPr>
          <w:rFonts w:hint="eastAsia" w:ascii="仿宋_GB2312" w:hAnsi="仿宋_GB2312" w:eastAsia="仿宋_GB2312" w:cs="仿宋_GB2312"/>
          <w:color w:val="000000"/>
          <w:sz w:val="32"/>
          <w:szCs w:val="32"/>
          <w:highlight w:val="none"/>
          <w:lang w:eastAsia="zh-CN"/>
        </w:rPr>
        <w:t>行政执法程序和流程，管理和服务相结合，公众对城管执法工作认可度显著提升；</w:t>
      </w:r>
      <w:r>
        <w:rPr>
          <w:rFonts w:hint="eastAsia" w:ascii="仿宋_GB2312" w:hAnsi="仿宋_GB2312" w:eastAsia="仿宋_GB2312" w:cs="仿宋_GB2312"/>
          <w:color w:val="000000"/>
          <w:sz w:val="32"/>
          <w:szCs w:val="32"/>
          <w:highlight w:val="none"/>
          <w:lang w:val="en-US" w:eastAsia="zh-CN"/>
        </w:rPr>
        <w:t>四是</w:t>
      </w:r>
      <w:r>
        <w:rPr>
          <w:rFonts w:hint="eastAsia" w:ascii="仿宋_GB2312" w:hAnsi="仿宋_GB2312" w:eastAsia="仿宋_GB2312" w:cs="仿宋_GB2312"/>
          <w:color w:val="000000"/>
          <w:sz w:val="32"/>
          <w:szCs w:val="32"/>
          <w:highlight w:val="none"/>
          <w:lang w:eastAsia="zh-CN"/>
        </w:rPr>
        <w:t>加强了</w:t>
      </w:r>
      <w:r>
        <w:rPr>
          <w:rFonts w:hint="eastAsia" w:ascii="仿宋_GB2312" w:hAnsi="仿宋_GB2312" w:eastAsia="仿宋_GB2312" w:cs="仿宋_GB2312"/>
          <w:sz w:val="32"/>
          <w:szCs w:val="32"/>
          <w:lang w:eastAsia="zh-CN"/>
        </w:rPr>
        <w:t>市本级管理权限范围内建筑施工场地噪音污染、扬尘污染等生态环境保护和</w:t>
      </w:r>
      <w:r>
        <w:rPr>
          <w:rFonts w:hint="eastAsia" w:ascii="仿宋_GB2312" w:hAnsi="仿宋_GB2312" w:eastAsia="仿宋_GB2312" w:cs="仿宋_GB2312"/>
          <w:color w:val="000000"/>
          <w:sz w:val="32"/>
          <w:szCs w:val="32"/>
          <w:highlight w:val="none"/>
          <w:lang w:eastAsia="zh-CN"/>
        </w:rPr>
        <w:t>市容秩序</w:t>
      </w:r>
      <w:r>
        <w:rPr>
          <w:rFonts w:hint="eastAsia" w:ascii="仿宋_GB2312" w:hAnsi="仿宋_GB2312" w:eastAsia="仿宋_GB2312" w:cs="仿宋_GB2312"/>
          <w:sz w:val="32"/>
          <w:szCs w:val="32"/>
          <w:lang w:eastAsia="zh-CN"/>
        </w:rPr>
        <w:t>方面的</w:t>
      </w:r>
      <w:r>
        <w:rPr>
          <w:rFonts w:hint="eastAsia" w:ascii="仿宋_GB2312" w:hAnsi="仿宋_GB2312" w:eastAsia="仿宋_GB2312" w:cs="仿宋_GB2312"/>
          <w:color w:val="000000"/>
          <w:sz w:val="32"/>
          <w:szCs w:val="32"/>
          <w:highlight w:val="none"/>
          <w:lang w:eastAsia="zh-CN"/>
        </w:rPr>
        <w:t>常态化管理，</w:t>
      </w:r>
      <w:r>
        <w:rPr>
          <w:rFonts w:hint="eastAsia" w:ascii="仿宋_GB2312" w:hAnsi="仿宋_GB2312" w:eastAsia="仿宋_GB2312" w:cs="仿宋_GB2312"/>
          <w:color w:val="000000"/>
          <w:sz w:val="32"/>
          <w:szCs w:val="32"/>
          <w:highlight w:val="none"/>
        </w:rPr>
        <w:t>为我市打造名副其实的省域副中心城市创造</w:t>
      </w:r>
      <w:r>
        <w:rPr>
          <w:rFonts w:hint="eastAsia" w:ascii="仿宋_GB2312" w:hAnsi="仿宋_GB2312" w:eastAsia="仿宋_GB2312" w:cs="仿宋_GB2312"/>
          <w:color w:val="000000"/>
          <w:sz w:val="32"/>
          <w:szCs w:val="32"/>
          <w:highlight w:val="none"/>
          <w:lang w:eastAsia="zh-CN"/>
        </w:rPr>
        <w:t>了</w:t>
      </w:r>
      <w:r>
        <w:rPr>
          <w:rFonts w:hint="eastAsia" w:ascii="仿宋_GB2312" w:hAnsi="仿宋_GB2312" w:eastAsia="仿宋_GB2312" w:cs="仿宋_GB2312"/>
          <w:color w:val="000000"/>
          <w:sz w:val="32"/>
          <w:szCs w:val="32"/>
          <w:highlight w:val="none"/>
        </w:rPr>
        <w:t>良好的市容管理秩序</w:t>
      </w:r>
      <w:r>
        <w:rPr>
          <w:rFonts w:hint="eastAsia" w:ascii="仿宋_GB2312" w:hAnsi="仿宋_GB2312" w:eastAsia="仿宋_GB2312" w:cs="仿宋_GB2312"/>
          <w:sz w:val="32"/>
          <w:szCs w:val="32"/>
          <w:lang w:val="en-US" w:eastAsia="zh-CN"/>
        </w:rPr>
        <w:t>；五是</w:t>
      </w:r>
      <w:r>
        <w:rPr>
          <w:rFonts w:hint="eastAsia" w:ascii="仿宋_GB2312" w:hAnsi="仿宋_GB2312" w:eastAsia="仿宋_GB2312" w:cs="仿宋_GB2312"/>
          <w:color w:val="000000"/>
          <w:sz w:val="32"/>
          <w:szCs w:val="32"/>
          <w:highlight w:val="none"/>
          <w:lang w:eastAsia="zh-CN"/>
        </w:rPr>
        <w:t>如期高质量圆满完成了</w:t>
      </w:r>
      <w:r>
        <w:rPr>
          <w:rFonts w:hint="eastAsia" w:ascii="仿宋_GB2312" w:hAnsi="仿宋_GB2312" w:eastAsia="仿宋_GB2312" w:cs="仿宋_GB2312"/>
          <w:color w:val="000000"/>
          <w:sz w:val="32"/>
          <w:szCs w:val="32"/>
          <w:lang w:val="en-US" w:eastAsia="zh-CN"/>
        </w:rPr>
        <w:t>年度各项工作</w:t>
      </w:r>
      <w:r>
        <w:rPr>
          <w:rFonts w:hint="eastAsia" w:ascii="仿宋_GB2312" w:hAnsi="仿宋_GB2312" w:eastAsia="仿宋_GB2312" w:cs="仿宋_GB2312"/>
          <w:color w:val="000000"/>
          <w:sz w:val="32"/>
          <w:szCs w:val="32"/>
          <w:highlight w:val="none"/>
          <w:lang w:eastAsia="zh-CN"/>
        </w:rPr>
        <w:t>任务</w:t>
      </w:r>
      <w:r>
        <w:rPr>
          <w:rFonts w:ascii="Times New Roman" w:hAnsi="Times New Roman" w:eastAsia="仿宋_GB2312" w:cs="Times New Roman"/>
          <w:sz w:val="32"/>
          <w:szCs w:val="32"/>
        </w:rPr>
        <w:t>。发现的主要问题及原因：一是</w:t>
      </w:r>
      <w:r>
        <w:rPr>
          <w:rFonts w:hint="eastAsia" w:ascii="Times New Roman" w:hAnsi="Times New Roman" w:eastAsia="仿宋_GB2312" w:cs="Times New Roman"/>
          <w:sz w:val="32"/>
          <w:szCs w:val="32"/>
          <w:lang w:val="en-US" w:eastAsia="zh-CN"/>
        </w:rPr>
        <w:t>部分费用结算不及时，不能及时准确反映单位运行情况。主要原因为2023年底预算一体化系统升级，暂停资金支付业务，部分公车运行维护经费结转本年结算</w:t>
      </w:r>
      <w:r>
        <w:rPr>
          <w:rFonts w:ascii="Times New Roman" w:hAnsi="Times New Roman" w:eastAsia="仿宋_GB2312" w:cs="Times New Roman"/>
          <w:sz w:val="32"/>
          <w:szCs w:val="32"/>
        </w:rPr>
        <w:t>；二是</w:t>
      </w:r>
      <w:r>
        <w:rPr>
          <w:rFonts w:hint="eastAsia" w:ascii="仿宋_GB2312" w:hAnsi="仿宋_GB2312" w:eastAsia="仿宋_GB2312" w:cs="仿宋_GB2312"/>
          <w:sz w:val="32"/>
          <w:szCs w:val="32"/>
          <w:lang w:val="en-US" w:eastAsia="zh-CN"/>
        </w:rPr>
        <w:t>预算绩效目标编制不够规范，</w:t>
      </w:r>
      <w:r>
        <w:rPr>
          <w:rFonts w:hint="eastAsia" w:ascii="仿宋_GB2312" w:hAnsi="仿宋_GB2312" w:eastAsia="仿宋_GB2312" w:cs="仿宋_GB2312"/>
          <w:sz w:val="32"/>
          <w:szCs w:val="32"/>
          <w:lang w:eastAsia="zh-CN"/>
        </w:rPr>
        <w:t>指标</w:t>
      </w:r>
      <w:r>
        <w:rPr>
          <w:rFonts w:hint="eastAsia" w:ascii="仿宋_GB2312" w:hAnsi="仿宋_GB2312" w:eastAsia="仿宋_GB2312" w:cs="仿宋_GB2312"/>
          <w:sz w:val="32"/>
          <w:szCs w:val="32"/>
          <w:lang w:val="en-US" w:eastAsia="zh-CN"/>
        </w:rPr>
        <w:t>关联细化程度有待进一步提升，</w:t>
      </w:r>
      <w:r>
        <w:rPr>
          <w:rFonts w:hint="eastAsia" w:ascii="仿宋_GB2312" w:hAnsi="仿宋_GB2312" w:eastAsia="仿宋_GB2312" w:cs="仿宋_GB2312"/>
          <w:sz w:val="32"/>
          <w:szCs w:val="32"/>
          <w:lang w:eastAsia="zh-CN"/>
        </w:rPr>
        <w:t>可衡量性不强。</w:t>
      </w:r>
      <w:r>
        <w:rPr>
          <w:rFonts w:hint="eastAsia" w:ascii="仿宋_GB2312" w:hAnsi="仿宋_GB2312" w:eastAsia="仿宋_GB2312" w:cs="仿宋_GB2312"/>
          <w:sz w:val="32"/>
          <w:szCs w:val="32"/>
          <w:lang w:val="en-US" w:eastAsia="zh-CN"/>
        </w:rPr>
        <w:t>主要原因为</w:t>
      </w:r>
      <w:r>
        <w:rPr>
          <w:rFonts w:hint="eastAsia" w:ascii="仿宋_GB2312" w:hAnsi="仿宋_GB2312" w:eastAsia="仿宋_GB2312" w:cs="仿宋_GB2312"/>
          <w:sz w:val="32"/>
          <w:szCs w:val="32"/>
          <w:lang w:eastAsia="zh-CN"/>
        </w:rPr>
        <w:t>绩效管理</w:t>
      </w:r>
      <w:r>
        <w:rPr>
          <w:rFonts w:hint="eastAsia" w:ascii="仿宋_GB2312" w:hAnsi="仿宋_GB2312" w:eastAsia="仿宋_GB2312" w:cs="仿宋_GB2312"/>
          <w:sz w:val="32"/>
          <w:szCs w:val="32"/>
          <w:lang w:val="en-US" w:eastAsia="zh-CN"/>
        </w:rPr>
        <w:t>由财务部门兼任，</w:t>
      </w:r>
      <w:r>
        <w:rPr>
          <w:rFonts w:hint="eastAsia" w:ascii="仿宋_GB2312" w:hAnsi="仿宋_GB2312" w:eastAsia="仿宋_GB2312" w:cs="仿宋_GB2312"/>
          <w:sz w:val="32"/>
          <w:szCs w:val="32"/>
          <w:lang w:eastAsia="zh-CN"/>
        </w:rPr>
        <w:t>财务人员大多</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lang w:eastAsia="zh-CN"/>
        </w:rPr>
        <w:t>会计、财务管理等专业，绩效</w:t>
      </w:r>
      <w:r>
        <w:rPr>
          <w:rFonts w:hint="eastAsia" w:ascii="仿宋_GB2312" w:hAnsi="仿宋_GB2312" w:eastAsia="仿宋_GB2312" w:cs="仿宋_GB2312"/>
          <w:sz w:val="32"/>
          <w:szCs w:val="32"/>
          <w:lang w:val="en-US" w:eastAsia="zh-CN"/>
        </w:rPr>
        <w:t>管理不但</w:t>
      </w:r>
      <w:r>
        <w:rPr>
          <w:rFonts w:hint="eastAsia" w:ascii="仿宋_GB2312" w:hAnsi="仿宋_GB2312" w:eastAsia="仿宋_GB2312" w:cs="仿宋_GB2312"/>
          <w:sz w:val="32"/>
          <w:szCs w:val="32"/>
          <w:lang w:eastAsia="zh-CN"/>
        </w:rPr>
        <w:t>需要掌握财经知识，还</w:t>
      </w:r>
      <w:r>
        <w:rPr>
          <w:rFonts w:hint="eastAsia" w:ascii="仿宋_GB2312" w:hAnsi="仿宋_GB2312" w:eastAsia="仿宋_GB2312" w:cs="仿宋_GB2312"/>
          <w:sz w:val="32"/>
          <w:szCs w:val="32"/>
          <w:lang w:val="en-US" w:eastAsia="zh-CN"/>
        </w:rPr>
        <w:t>需</w:t>
      </w:r>
      <w:r>
        <w:rPr>
          <w:rFonts w:hint="eastAsia" w:ascii="仿宋_GB2312" w:hAnsi="仿宋_GB2312" w:eastAsia="仿宋_GB2312" w:cs="仿宋_GB2312"/>
          <w:sz w:val="32"/>
          <w:szCs w:val="32"/>
          <w:lang w:eastAsia="zh-CN"/>
        </w:rPr>
        <w:t>熟悉相关政策、了解项目业务</w:t>
      </w:r>
      <w:r>
        <w:rPr>
          <w:rFonts w:hint="eastAsia" w:ascii="仿宋_GB2312" w:hAnsi="仿宋_GB2312" w:eastAsia="仿宋_GB2312" w:cs="仿宋_GB2312"/>
          <w:sz w:val="32"/>
          <w:szCs w:val="32"/>
          <w:lang w:val="en-US" w:eastAsia="zh-CN"/>
        </w:rPr>
        <w:t>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需要</w:t>
      </w:r>
      <w:r>
        <w:rPr>
          <w:rFonts w:hint="eastAsia" w:ascii="仿宋_GB2312" w:hAnsi="仿宋_GB2312" w:eastAsia="仿宋_GB2312" w:cs="仿宋_GB2312"/>
          <w:sz w:val="32"/>
          <w:szCs w:val="32"/>
          <w:lang w:eastAsia="zh-CN"/>
        </w:rPr>
        <w:t>具备管理学、法学、统计学等方面的知识，并</w:t>
      </w:r>
      <w:r>
        <w:rPr>
          <w:rFonts w:hint="eastAsia" w:ascii="仿宋_GB2312" w:hAnsi="仿宋_GB2312" w:eastAsia="仿宋_GB2312" w:cs="仿宋_GB2312"/>
          <w:sz w:val="32"/>
          <w:szCs w:val="32"/>
          <w:lang w:val="en-US" w:eastAsia="zh-CN"/>
        </w:rPr>
        <w:t>需要</w:t>
      </w:r>
      <w:r>
        <w:rPr>
          <w:rFonts w:hint="eastAsia" w:ascii="仿宋_GB2312" w:hAnsi="仿宋_GB2312" w:eastAsia="仿宋_GB2312" w:cs="仿宋_GB2312"/>
          <w:sz w:val="32"/>
          <w:szCs w:val="32"/>
          <w:lang w:eastAsia="zh-CN"/>
        </w:rPr>
        <w:t>持续更新知识体系</w:t>
      </w:r>
      <w:r>
        <w:rPr>
          <w:rFonts w:ascii="Times New Roman" w:hAnsi="Times New Roman" w:eastAsia="仿宋_GB2312" w:cs="Times New Roman"/>
          <w:sz w:val="32"/>
          <w:szCs w:val="32"/>
        </w:rPr>
        <w:t>。下一步改进措施：一是</w:t>
      </w:r>
      <w:r>
        <w:rPr>
          <w:rFonts w:hint="eastAsia" w:ascii="仿宋_GB2312" w:hAnsi="宋体" w:eastAsia="仿宋_GB2312" w:cs="宋体"/>
          <w:sz w:val="32"/>
          <w:szCs w:val="32"/>
          <w:lang w:eastAsia="zh-CN"/>
        </w:rPr>
        <w:t>加强资金结算管理，提升费用结算时效性。加强部门间沟通协调，及时结算相关费用，为会计信息使用者提供及时、准确的信息</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lang w:eastAsia="zh-CN"/>
        </w:rPr>
        <w:t>加快</w:t>
      </w:r>
      <w:r>
        <w:rPr>
          <w:rFonts w:hint="eastAsia" w:ascii="Times New Roman" w:hAnsi="Times New Roman" w:eastAsia="仿宋_GB2312" w:cs="Times New Roman"/>
          <w:sz w:val="32"/>
          <w:szCs w:val="32"/>
          <w:lang w:val="en-US" w:eastAsia="zh-CN"/>
        </w:rPr>
        <w:t>人才</w:t>
      </w:r>
      <w:r>
        <w:rPr>
          <w:rFonts w:hint="eastAsia" w:ascii="Times New Roman" w:hAnsi="Times New Roman" w:eastAsia="仿宋_GB2312" w:cs="Times New Roman"/>
          <w:sz w:val="32"/>
          <w:szCs w:val="32"/>
          <w:lang w:eastAsia="zh-CN"/>
        </w:rPr>
        <w:t>队伍建设，提</w:t>
      </w:r>
      <w:r>
        <w:rPr>
          <w:rFonts w:hint="eastAsia" w:ascii="Times New Roman" w:hAnsi="Times New Roman" w:eastAsia="仿宋_GB2312" w:cs="Times New Roman"/>
          <w:sz w:val="32"/>
          <w:szCs w:val="32"/>
          <w:lang w:val="en-US" w:eastAsia="zh-CN"/>
        </w:rPr>
        <w:t>升绩效</w:t>
      </w:r>
      <w:r>
        <w:rPr>
          <w:rFonts w:hint="eastAsia" w:ascii="Times New Roman" w:hAnsi="Times New Roman" w:eastAsia="仿宋_GB2312" w:cs="Times New Roman"/>
          <w:sz w:val="32"/>
          <w:szCs w:val="32"/>
          <w:lang w:eastAsia="zh-CN"/>
        </w:rPr>
        <w:t>管理人员专业水平。</w:t>
      </w:r>
      <w:r>
        <w:rPr>
          <w:rFonts w:hint="eastAsia" w:ascii="Times New Roman" w:hAnsi="Times New Roman" w:eastAsia="仿宋_GB2312" w:cs="Times New Roman"/>
          <w:sz w:val="32"/>
          <w:szCs w:val="32"/>
          <w:lang w:val="en-US" w:eastAsia="zh-CN"/>
        </w:rPr>
        <w:t>引进专业</w:t>
      </w:r>
      <w:r>
        <w:rPr>
          <w:rFonts w:hint="eastAsia" w:ascii="Times New Roman" w:hAnsi="Times New Roman" w:eastAsia="仿宋_GB2312" w:cs="Times New Roman"/>
          <w:sz w:val="32"/>
          <w:szCs w:val="32"/>
          <w:lang w:eastAsia="zh-CN"/>
        </w:rPr>
        <w:t>人</w:t>
      </w:r>
      <w:r>
        <w:rPr>
          <w:rFonts w:hint="eastAsia" w:ascii="Times New Roman" w:hAnsi="Times New Roman" w:eastAsia="仿宋_GB2312" w:cs="Times New Roman"/>
          <w:sz w:val="32"/>
          <w:szCs w:val="32"/>
          <w:lang w:val="en-US" w:eastAsia="zh-CN"/>
        </w:rPr>
        <w:t>才</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充实</w:t>
      </w:r>
      <w:r>
        <w:rPr>
          <w:rFonts w:hint="eastAsia" w:ascii="Times New Roman" w:hAnsi="Times New Roman" w:eastAsia="仿宋_GB2312" w:cs="Times New Roman"/>
          <w:sz w:val="32"/>
          <w:szCs w:val="32"/>
          <w:lang w:eastAsia="zh-CN"/>
        </w:rPr>
        <w:t>绩效管理</w:t>
      </w:r>
      <w:r>
        <w:rPr>
          <w:rFonts w:hint="eastAsia" w:ascii="Times New Roman" w:hAnsi="Times New Roman" w:eastAsia="仿宋_GB2312" w:cs="Times New Roman"/>
          <w:sz w:val="32"/>
          <w:szCs w:val="32"/>
          <w:lang w:val="en-US" w:eastAsia="zh-CN"/>
        </w:rPr>
        <w:t>人才队伍</w:t>
      </w:r>
      <w:r>
        <w:rPr>
          <w:rFonts w:hint="eastAsia" w:ascii="Times New Roman" w:hAnsi="Times New Roman" w:eastAsia="仿宋_GB2312" w:cs="Times New Roman"/>
          <w:sz w:val="32"/>
          <w:szCs w:val="32"/>
          <w:lang w:eastAsia="zh-CN"/>
        </w:rPr>
        <w:t>，加强</w:t>
      </w:r>
      <w:r>
        <w:rPr>
          <w:rFonts w:hint="eastAsia" w:ascii="Times New Roman" w:hAnsi="Times New Roman" w:eastAsia="仿宋_GB2312" w:cs="Times New Roman"/>
          <w:sz w:val="32"/>
          <w:szCs w:val="32"/>
          <w:lang w:val="en-US" w:eastAsia="zh-CN"/>
        </w:rPr>
        <w:t>业务培训，提升绩效管理人员综合素质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同时，加强部门间协作联动，做深做细预算绩效目标，增强预算约束力，</w:t>
      </w:r>
      <w:r>
        <w:rPr>
          <w:rFonts w:hint="eastAsia" w:ascii="Times New Roman" w:hAnsi="Times New Roman" w:eastAsia="仿宋_GB2312" w:cs="Times New Roman"/>
          <w:sz w:val="32"/>
          <w:szCs w:val="32"/>
          <w:lang w:eastAsia="zh-CN"/>
        </w:rPr>
        <w:t>提</w:t>
      </w:r>
      <w:r>
        <w:rPr>
          <w:rFonts w:hint="eastAsia" w:ascii="Times New Roman" w:hAnsi="Times New Roman" w:eastAsia="仿宋_GB2312" w:cs="Times New Roman"/>
          <w:sz w:val="32"/>
          <w:szCs w:val="32"/>
          <w:lang w:val="en-US" w:eastAsia="zh-CN"/>
        </w:rPr>
        <w:t>升</w:t>
      </w:r>
      <w:r>
        <w:rPr>
          <w:rFonts w:hint="eastAsia" w:ascii="Times New Roman" w:hAnsi="Times New Roman" w:eastAsia="仿宋_GB2312" w:cs="Times New Roman"/>
          <w:sz w:val="32"/>
          <w:szCs w:val="32"/>
          <w:lang w:eastAsia="zh-CN"/>
        </w:rPr>
        <w:t>绩效管理</w:t>
      </w:r>
      <w:r>
        <w:rPr>
          <w:rFonts w:hint="eastAsia" w:ascii="Times New Roman" w:hAnsi="Times New Roman" w:eastAsia="仿宋_GB2312" w:cs="Times New Roman"/>
          <w:sz w:val="32"/>
          <w:szCs w:val="32"/>
          <w:lang w:val="en-US" w:eastAsia="zh-CN"/>
        </w:rPr>
        <w:t>水</w:t>
      </w:r>
      <w:r>
        <w:rPr>
          <w:rFonts w:hint="eastAsia" w:ascii="Times New Roman" w:hAnsi="Times New Roman" w:eastAsia="仿宋_GB2312" w:cs="Times New Roman"/>
          <w:sz w:val="32"/>
          <w:szCs w:val="32"/>
          <w:lang w:eastAsia="zh-CN"/>
        </w:rPr>
        <w:t>平</w:t>
      </w:r>
      <w:r>
        <w:rPr>
          <w:rFonts w:ascii="Times New Roman" w:hAnsi="Times New Roman" w:eastAsia="仿宋_GB2312" w:cs="Times New Roman"/>
          <w:sz w:val="32"/>
          <w:szCs w:val="32"/>
        </w:rPr>
        <w:t>。</w:t>
      </w:r>
    </w:p>
    <w:p w14:paraId="59008B08">
      <w:pPr>
        <w:pStyle w:val="15"/>
        <w:jc w:val="both"/>
        <w:rPr>
          <w:rFonts w:hint="eastAsia" w:ascii="方正小标宋_GBK" w:hAnsi="方正小标宋_GBK" w:eastAsia="方正小标宋_GBK" w:cs="方正小标宋_GBK"/>
          <w:color w:val="000000" w:themeColor="text1"/>
          <w:sz w:val="72"/>
          <w:szCs w:val="72"/>
          <w14:textFill>
            <w14:solidFill>
              <w14:schemeClr w14:val="tx1"/>
            </w14:solidFill>
          </w14:textFill>
        </w:rPr>
      </w:pPr>
    </w:p>
    <w:p w14:paraId="655991A6">
      <w:pPr>
        <w:pStyle w:val="15"/>
        <w:jc w:val="center"/>
        <w:rPr>
          <w:rFonts w:hint="eastAsia" w:ascii="方正小标宋_GBK" w:hAnsi="方正小标宋_GBK" w:eastAsia="方正小标宋_GBK" w:cs="方正小标宋_GBK"/>
          <w:color w:val="000000" w:themeColor="text1"/>
          <w:sz w:val="72"/>
          <w:szCs w:val="72"/>
          <w14:textFill>
            <w14:solidFill>
              <w14:schemeClr w14:val="tx1"/>
            </w14:solidFill>
          </w14:textFill>
        </w:rPr>
      </w:pPr>
    </w:p>
    <w:p w14:paraId="0D3D607D">
      <w:pPr>
        <w:pStyle w:val="15"/>
        <w:jc w:val="center"/>
        <w:rPr>
          <w:rFonts w:hint="eastAsia" w:ascii="方正小标宋_GBK" w:hAnsi="方正小标宋_GBK" w:eastAsia="方正小标宋_GBK" w:cs="方正小标宋_GBK"/>
          <w:color w:val="000000" w:themeColor="text1"/>
          <w:sz w:val="72"/>
          <w:szCs w:val="72"/>
          <w14:textFill>
            <w14:solidFill>
              <w14:schemeClr w14:val="tx1"/>
            </w14:solidFill>
          </w14:textFill>
        </w:rPr>
      </w:pPr>
      <w:r>
        <w:rPr>
          <w:rFonts w:hint="eastAsia" w:ascii="方正小标宋_GBK" w:hAnsi="方正小标宋_GBK" w:eastAsia="方正小标宋_GBK" w:cs="方正小标宋_GBK"/>
          <w:color w:val="000000" w:themeColor="text1"/>
          <w:sz w:val="72"/>
          <w:szCs w:val="72"/>
          <w14:textFill>
            <w14:solidFill>
              <w14:schemeClr w14:val="tx1"/>
            </w14:solidFill>
          </w14:textFill>
        </w:rPr>
        <w:t>第四部分</w:t>
      </w:r>
    </w:p>
    <w:p w14:paraId="2EF42452">
      <w:pPr>
        <w:pStyle w:val="15"/>
        <w:jc w:val="center"/>
        <w:rPr>
          <w:rFonts w:hint="eastAsia" w:ascii="方正小标宋_GBK" w:hAnsi="方正小标宋_GBK" w:eastAsia="方正小标宋_GBK" w:cs="方正小标宋_GBK"/>
          <w:color w:val="000000" w:themeColor="text1"/>
          <w:sz w:val="70"/>
          <w:szCs w:val="70"/>
          <w14:textFill>
            <w14:solidFill>
              <w14:schemeClr w14:val="tx1"/>
            </w14:solidFill>
          </w14:textFill>
        </w:rPr>
      </w:pPr>
      <w:r>
        <w:rPr>
          <w:rFonts w:hint="eastAsia" w:ascii="方正小标宋_GBK" w:hAnsi="方正小标宋_GBK" w:eastAsia="方正小标宋_GBK" w:cs="方正小标宋_GBK"/>
          <w:color w:val="000000" w:themeColor="text1"/>
          <w:sz w:val="70"/>
          <w:szCs w:val="70"/>
          <w14:textFill>
            <w14:solidFill>
              <w14:schemeClr w14:val="tx1"/>
            </w14:solidFill>
          </w14:textFill>
        </w:rPr>
        <w:t>名词解释</w:t>
      </w:r>
    </w:p>
    <w:p w14:paraId="4E174E05">
      <w:pPr>
        <w:pStyle w:val="9"/>
        <w:rPr>
          <w:color w:val="000000" w:themeColor="text1"/>
          <w14:textFill>
            <w14:solidFill>
              <w14:schemeClr w14:val="tx1"/>
            </w14:solidFill>
          </w14:textFill>
        </w:rPr>
      </w:pPr>
    </w:p>
    <w:p w14:paraId="40E2FE52">
      <w:pPr>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5E38325E">
      <w:pPr>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机关运行经费，指为保障行政单位（包括参照公务员法管理的事业单位）运行用于购买货物和服务的各项资金，包括办公费、印刷费、邮电费、差旅费、会议费、日常维修费、专用材料及一般设备购置费、办公用房水电费、办公用房取暖费、办公用房物业管理费、公务用车运行维护费以及其他费用。</w:t>
      </w:r>
    </w:p>
    <w:p w14:paraId="09D5D202">
      <w:pPr>
        <w:ind w:firstLine="640" w:firstLineChars="200"/>
        <w:jc w:val="left"/>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w:t>
      </w: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城乡社区支出（类）：是指用于城乡社区事务支出，包括保障机构正常运转、完成日常和特定的工作任务或事业发展目标的支出。</w:t>
      </w:r>
    </w:p>
    <w:p w14:paraId="6AE640E9">
      <w:pPr>
        <w:ind w:firstLine="640" w:firstLineChars="200"/>
        <w:jc w:val="left"/>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四、财政拨款收入：指本级财政当年拨付的资金。</w:t>
      </w:r>
    </w:p>
    <w:p w14:paraId="1E550E9A">
      <w:pPr>
        <w:ind w:firstLine="640" w:firstLineChars="200"/>
        <w:jc w:val="left"/>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五、基本支出：指保障机构正常运转、完成支日常工作任务而发生的人员支出和公用支出。</w:t>
      </w:r>
    </w:p>
    <w:p w14:paraId="401DE969">
      <w:pPr>
        <w:ind w:firstLine="640" w:firstLineChars="200"/>
        <w:jc w:val="left"/>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工资福利支出：反映单位开支的在职职工和编制外长期聘用人员的各类劳动报酬，以及为上述人员缴纳的各项社会保险费等。</w:t>
      </w:r>
    </w:p>
    <w:p w14:paraId="56903537">
      <w:pPr>
        <w:ind w:firstLine="640" w:firstLineChars="200"/>
        <w:jc w:val="left"/>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工资、军衔（级别）工资、基础工资和军龄工资；军队士官的军衔等级工资、基础工资和军龄工资等。</w:t>
      </w:r>
    </w:p>
    <w:p w14:paraId="7556512D">
      <w:pPr>
        <w:ind w:firstLine="640" w:firstLineChars="200"/>
        <w:jc w:val="left"/>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绩效工资：反映事业单位工作人员的绩效工资。</w:t>
      </w:r>
    </w:p>
    <w:p w14:paraId="0B750F28">
      <w:pPr>
        <w:ind w:firstLine="640" w:firstLineChars="200"/>
        <w:jc w:val="left"/>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机关事业单位基本养老保险缴费：反映机关事业单位缴纳的基本养老保险费。由单位代扣的工作人员基本养老保险缴费，不在此科目反映。</w:t>
      </w:r>
    </w:p>
    <w:p w14:paraId="24D322E9">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职业年金缴费：反映机关事业单位实际缴纳的职业年金支出。由单位代扣的工作人员职业年金缴费，不在此科目反映。</w:t>
      </w:r>
    </w:p>
    <w:p w14:paraId="52EF1305">
      <w:pPr>
        <w:ind w:firstLine="640" w:firstLineChars="200"/>
        <w:jc w:val="left"/>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职工基本医疗保险缴费：反映单位为职工缴纳的基本医疗保险费。</w:t>
      </w:r>
    </w:p>
    <w:p w14:paraId="38B98082">
      <w:pPr>
        <w:ind w:firstLine="640" w:firstLineChars="200"/>
        <w:jc w:val="left"/>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其他社会保障缴费：反映单位为职工缴纳的基本医疗、失业、工伤、生育等社会保险费，残疾人就业保障金，军队（含武警）为军人缴纳的伤亡、退役医疗等社会保险费。</w:t>
      </w:r>
    </w:p>
    <w:p w14:paraId="3F83BEF6">
      <w:pPr>
        <w:ind w:firstLine="640" w:firstLineChars="200"/>
        <w:jc w:val="left"/>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住房公积金：反映行政事业单位按人力资源和社会保障部、财政部规定的基本工资和津贴补贴以及规定比例为职工缴纳的住房公积金。</w:t>
      </w:r>
    </w:p>
    <w:p w14:paraId="3C41C500">
      <w:pPr>
        <w:ind w:firstLine="640" w:firstLineChars="200"/>
        <w:jc w:val="left"/>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医疗费：反映未参加医疗保险单位的医疗经费和单位按规定为职工支出的其他医疗费用。</w:t>
      </w:r>
    </w:p>
    <w:p w14:paraId="422F5E7A">
      <w:pPr>
        <w:ind w:firstLine="640" w:firstLineChars="200"/>
        <w:jc w:val="left"/>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商品和服务支出：反映单位购买商品和服务的支出（不包括用于购置固定资产的支出、战略性和应急储备支出）。</w:t>
      </w:r>
    </w:p>
    <w:p w14:paraId="2E48411E">
      <w:pPr>
        <w:ind w:firstLine="640" w:firstLineChars="200"/>
        <w:jc w:val="left"/>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办公费：反映单位购买按财务会计制度规定不符合固定资产确认标准的日常办公用品、书报杂志等支出。</w:t>
      </w:r>
    </w:p>
    <w:p w14:paraId="24F6EABA">
      <w:pPr>
        <w:ind w:firstLine="640" w:firstLineChars="200"/>
        <w:jc w:val="left"/>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咨询费：反映单位咨询方面的支出。</w:t>
      </w:r>
    </w:p>
    <w:p w14:paraId="2F979858">
      <w:pPr>
        <w:ind w:firstLine="640" w:firstLineChars="200"/>
        <w:jc w:val="left"/>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手续费：反映单位支付的各类手续费支出。</w:t>
      </w:r>
    </w:p>
    <w:p w14:paraId="65BC3957">
      <w:pPr>
        <w:ind w:firstLine="640" w:firstLineChars="200"/>
        <w:jc w:val="left"/>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电费：反映单位的电费支出。</w:t>
      </w:r>
    </w:p>
    <w:p w14:paraId="00F0A27D">
      <w:pPr>
        <w:ind w:firstLine="640" w:firstLineChars="200"/>
        <w:jc w:val="left"/>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差旅费：反映单位工作人员出差发生的城市间交通费、住宿费、伙食补贴费和市内交通费。</w:t>
      </w:r>
    </w:p>
    <w:p w14:paraId="2A964DC2">
      <w:pPr>
        <w:ind w:firstLine="640" w:firstLineChars="200"/>
        <w:jc w:val="left"/>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培训费：反映除因公出国（境）培训费以外的各类培训支出。</w:t>
      </w:r>
    </w:p>
    <w:p w14:paraId="6331D5BB">
      <w:pPr>
        <w:ind w:firstLine="640" w:firstLineChars="200"/>
        <w:jc w:val="left"/>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专用材料费：反映单位购买日常专用材料的支出。具体包括药品及医疗耗材，农用材料，兽医用品，实验室用品，专用服装，消耗性体育用品，专用工具和仪器，艺术部门专用材料和用品，广播电视台发射台发射机的电力、材料等方面的支出。</w:t>
      </w:r>
    </w:p>
    <w:p w14:paraId="09E14C81">
      <w:pPr>
        <w:pStyle w:val="2"/>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 xml:space="preserve">    其他交通费用：反映单位除公务用车运行维护费以外的其他交通费用。如公务交通补贴，租车费用、出租车费用，飞机、船舶等的燃料费、维修费、保险费等。</w:t>
      </w:r>
    </w:p>
    <w:p w14:paraId="23409954">
      <w:pPr>
        <w:ind w:firstLine="640" w:firstLineChars="200"/>
        <w:jc w:val="left"/>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税金及附加费用：反映单位提供劳务或销售产品应负担的税金及附加费用，包括营业税、消费税、城市维护建设税、资源税和教育附加等。</w:t>
      </w:r>
    </w:p>
    <w:p w14:paraId="0046E24B">
      <w:pPr>
        <w:keepNext/>
        <w:keepLines/>
        <w:ind w:firstLine="640"/>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对个人和家庭的补助：反映政府用于对个人和家庭的补助支出。</w:t>
      </w:r>
    </w:p>
    <w:p w14:paraId="3A640241">
      <w:pPr>
        <w:keepNext/>
        <w:keepLines/>
        <w:ind w:firstLine="640"/>
        <w:rPr>
          <w:rFonts w:hint="eastAsia" w:ascii="仿宋_GB2312" w:hAnsi="仿宋_GB2312" w:eastAsia="仿宋_GB2312" w:cs="仿宋_GB2312"/>
          <w:color w:val="000000" w:themeColor="text1"/>
          <w:kern w:val="0"/>
          <w:sz w:val="32"/>
          <w:szCs w:val="32"/>
          <w:highlight w:val="whit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white"/>
          <w14:textFill>
            <w14:solidFill>
              <w14:schemeClr w14:val="tx1"/>
            </w14:solidFill>
          </w14:textFill>
        </w:rPr>
        <w:t>办公设备购置：反映用于购置并按财务会计制度规定纳入固定资产核算范围的办公家具和办公设备的支出，以及按规定提取的修购基金。</w:t>
      </w:r>
    </w:p>
    <w:p w14:paraId="6A7A08BD">
      <w:pPr>
        <w:pStyle w:val="9"/>
        <w:rPr>
          <w:color w:val="000000" w:themeColor="text1"/>
          <w14:textFill>
            <w14:solidFill>
              <w14:schemeClr w14:val="tx1"/>
            </w14:solidFill>
          </w14:textFill>
        </w:rPr>
      </w:pPr>
    </w:p>
    <w:p w14:paraId="0598C9B9">
      <w:pPr>
        <w:pStyle w:val="5"/>
        <w:ind w:firstLine="480"/>
        <w:rPr>
          <w:rFonts w:hint="eastAsia"/>
          <w:color w:val="000000" w:themeColor="text1"/>
          <w14:textFill>
            <w14:solidFill>
              <w14:schemeClr w14:val="tx1"/>
            </w14:solidFill>
          </w14:textFill>
        </w:rPr>
      </w:pPr>
    </w:p>
    <w:p w14:paraId="6328FF3D">
      <w:pPr>
        <w:rPr>
          <w:color w:val="000000" w:themeColor="text1"/>
          <w14:textFill>
            <w14:solidFill>
              <w14:schemeClr w14:val="tx1"/>
            </w14:solidFill>
          </w14:textFill>
        </w:rPr>
      </w:pPr>
    </w:p>
    <w:p w14:paraId="178EF87B">
      <w:pPr>
        <w:pStyle w:val="9"/>
        <w:rPr>
          <w:color w:val="000000" w:themeColor="text1"/>
          <w14:textFill>
            <w14:solidFill>
              <w14:schemeClr w14:val="tx1"/>
            </w14:solidFill>
          </w14:textFill>
        </w:rPr>
      </w:pPr>
    </w:p>
    <w:p w14:paraId="15F14068">
      <w:pPr>
        <w:pStyle w:val="15"/>
        <w:jc w:val="center"/>
        <w:rPr>
          <w:rFonts w:hint="eastAsia" w:ascii="方正小标宋_GBK" w:hAnsi="方正小标宋_GBK" w:eastAsia="方正小标宋_GBK" w:cs="方正小标宋_GBK"/>
          <w:color w:val="000000" w:themeColor="text1"/>
          <w:sz w:val="70"/>
          <w:szCs w:val="70"/>
          <w14:textFill>
            <w14:solidFill>
              <w14:schemeClr w14:val="tx1"/>
            </w14:solidFill>
          </w14:textFill>
        </w:rPr>
      </w:pPr>
      <w:r>
        <w:rPr>
          <w:rFonts w:hint="eastAsia" w:ascii="方正小标宋_GBK" w:hAnsi="方正小标宋_GBK" w:eastAsia="方正小标宋_GBK" w:cs="方正小标宋_GBK"/>
          <w:color w:val="000000" w:themeColor="text1"/>
          <w:sz w:val="72"/>
          <w:szCs w:val="72"/>
          <w14:textFill>
            <w14:solidFill>
              <w14:schemeClr w14:val="tx1"/>
            </w14:solidFill>
          </w14:textFill>
        </w:rPr>
        <w:t>第五部分</w:t>
      </w:r>
    </w:p>
    <w:p w14:paraId="54F2AA67">
      <w:pPr>
        <w:pStyle w:val="15"/>
        <w:jc w:val="center"/>
        <w:rPr>
          <w:rFonts w:hint="eastAsia" w:ascii="方正小标宋_GBK" w:hAnsi="方正小标宋_GBK" w:eastAsia="方正小标宋_GBK" w:cs="方正小标宋_GBK"/>
          <w:color w:val="000000" w:themeColor="text1"/>
          <w:sz w:val="70"/>
          <w:szCs w:val="70"/>
          <w14:textFill>
            <w14:solidFill>
              <w14:schemeClr w14:val="tx1"/>
            </w14:solidFill>
          </w14:textFill>
        </w:rPr>
      </w:pPr>
      <w:r>
        <w:rPr>
          <w:rFonts w:hint="eastAsia" w:ascii="方正小标宋_GBK" w:hAnsi="方正小标宋_GBK" w:eastAsia="方正小标宋_GBK" w:cs="方正小标宋_GBK"/>
          <w:color w:val="000000" w:themeColor="text1"/>
          <w:sz w:val="70"/>
          <w:szCs w:val="70"/>
          <w14:textFill>
            <w14:solidFill>
              <w14:schemeClr w14:val="tx1"/>
            </w14:solidFill>
          </w14:textFill>
        </w:rPr>
        <w:t>附 件</w:t>
      </w:r>
    </w:p>
    <w:p w14:paraId="26794041">
      <w:pPr>
        <w:ind w:firstLine="640" w:firstLineChars="200"/>
        <w:jc w:val="left"/>
        <w:rPr>
          <w:rFonts w:hint="eastAsia" w:ascii="宋体" w:hAnsi="宋体" w:eastAsia="宋体" w:cs="黑体"/>
          <w:b/>
          <w:color w:val="000000" w:themeColor="text1"/>
          <w:kern w:val="0"/>
          <w:sz w:val="32"/>
          <w:szCs w:val="32"/>
          <w14:textFill>
            <w14:solidFill>
              <w14:schemeClr w14:val="tx1"/>
            </w14:solidFill>
          </w14:textFill>
        </w:rPr>
      </w:pPr>
    </w:p>
    <w:p w14:paraId="17F36BE3">
      <w:pPr>
        <w:ind w:firstLine="640" w:firstLineChars="200"/>
        <w:jc w:val="left"/>
        <w:rPr>
          <w:rFonts w:hint="eastAsia" w:ascii="宋体" w:hAnsi="宋体" w:eastAsia="宋体" w:cs="黑体"/>
          <w:b/>
          <w:color w:val="000000" w:themeColor="text1"/>
          <w:kern w:val="0"/>
          <w:sz w:val="32"/>
          <w:szCs w:val="32"/>
          <w14:textFill>
            <w14:solidFill>
              <w14:schemeClr w14:val="tx1"/>
            </w14:solidFill>
          </w14:textFill>
        </w:rPr>
      </w:pPr>
      <w:r>
        <w:rPr>
          <w:rFonts w:hint="eastAsia" w:ascii="宋体" w:hAnsi="宋体" w:eastAsia="宋体" w:cs="黑体"/>
          <w:b/>
          <w:color w:val="000000" w:themeColor="text1"/>
          <w:kern w:val="0"/>
          <w:sz w:val="32"/>
          <w:szCs w:val="32"/>
          <w14:textFill>
            <w14:solidFill>
              <w14:schemeClr w14:val="tx1"/>
            </w14:solidFill>
          </w14:textFill>
        </w:rPr>
        <w:t>1、202</w:t>
      </w:r>
      <w:r>
        <w:rPr>
          <w:rFonts w:hint="eastAsia" w:ascii="宋体" w:hAnsi="宋体" w:eastAsia="宋体" w:cs="黑体"/>
          <w:b/>
          <w:color w:val="000000" w:themeColor="text1"/>
          <w:kern w:val="0"/>
          <w:sz w:val="32"/>
          <w:szCs w:val="32"/>
          <w:lang w:val="en-US" w:eastAsia="zh-CN"/>
          <w14:textFill>
            <w14:solidFill>
              <w14:schemeClr w14:val="tx1"/>
            </w14:solidFill>
          </w14:textFill>
        </w:rPr>
        <w:t>4</w:t>
      </w:r>
      <w:r>
        <w:rPr>
          <w:rFonts w:hint="eastAsia" w:ascii="宋体" w:hAnsi="宋体" w:eastAsia="宋体" w:cs="黑体"/>
          <w:b/>
          <w:color w:val="000000" w:themeColor="text1"/>
          <w:kern w:val="0"/>
          <w:sz w:val="32"/>
          <w:szCs w:val="32"/>
          <w14:textFill>
            <w14:solidFill>
              <w14:schemeClr w14:val="tx1"/>
            </w14:solidFill>
          </w14:textFill>
        </w:rPr>
        <w:t>年部门决算公开表格</w:t>
      </w:r>
    </w:p>
    <w:p w14:paraId="3B32E2E3">
      <w:pPr>
        <w:ind w:firstLine="640" w:firstLineChars="200"/>
        <w:jc w:val="left"/>
        <w:rPr>
          <w:rFonts w:hint="eastAsia" w:ascii="宋体" w:hAnsi="宋体" w:eastAsia="宋体" w:cs="黑体"/>
          <w:color w:val="000000" w:themeColor="text1"/>
          <w:kern w:val="0"/>
          <w:sz w:val="32"/>
          <w:szCs w:val="32"/>
          <w14:textFill>
            <w14:solidFill>
              <w14:schemeClr w14:val="tx1"/>
            </w14:solidFill>
          </w14:textFill>
        </w:rPr>
      </w:pPr>
      <w:r>
        <w:rPr>
          <w:rFonts w:hint="eastAsia" w:ascii="宋体" w:hAnsi="宋体" w:eastAsia="宋体" w:cs="黑体"/>
          <w:b/>
          <w:color w:val="000000" w:themeColor="text1"/>
          <w:kern w:val="0"/>
          <w:sz w:val="32"/>
          <w:szCs w:val="32"/>
          <w14:textFill>
            <w14:solidFill>
              <w14:schemeClr w14:val="tx1"/>
            </w14:solidFill>
          </w14:textFill>
        </w:rPr>
        <w:t>2、202</w:t>
      </w:r>
      <w:r>
        <w:rPr>
          <w:rFonts w:hint="eastAsia" w:ascii="宋体" w:hAnsi="宋体" w:eastAsia="宋体" w:cs="黑体"/>
          <w:b/>
          <w:color w:val="000000" w:themeColor="text1"/>
          <w:kern w:val="0"/>
          <w:sz w:val="32"/>
          <w:szCs w:val="32"/>
          <w:lang w:val="en-US" w:eastAsia="zh-CN"/>
          <w14:textFill>
            <w14:solidFill>
              <w14:schemeClr w14:val="tx1"/>
            </w14:solidFill>
          </w14:textFill>
        </w:rPr>
        <w:t>4</w:t>
      </w:r>
      <w:r>
        <w:rPr>
          <w:rFonts w:hint="eastAsia" w:ascii="宋体" w:hAnsi="宋体" w:eastAsia="宋体" w:cs="黑体"/>
          <w:b/>
          <w:color w:val="000000" w:themeColor="text1"/>
          <w:kern w:val="0"/>
          <w:sz w:val="32"/>
          <w:szCs w:val="32"/>
          <w14:textFill>
            <w14:solidFill>
              <w14:schemeClr w14:val="tx1"/>
            </w14:solidFill>
          </w14:textFill>
        </w:rPr>
        <w:t>年度部门整体支出绩效评价报告</w:t>
      </w:r>
    </w:p>
    <w:p w14:paraId="7531E220">
      <w:pPr>
        <w:rPr>
          <w:color w:val="000000" w:themeColor="text1"/>
          <w14:textFill>
            <w14:solidFill>
              <w14:schemeClr w14:val="tx1"/>
            </w14:solidFill>
          </w14:textFill>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4D923"/>
    <w:multiLevelType w:val="singleLevel"/>
    <w:tmpl w:val="9B64D923"/>
    <w:lvl w:ilvl="0" w:tentative="0">
      <w:start w:val="1"/>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888EF1F"/>
    <w:multiLevelType w:val="singleLevel"/>
    <w:tmpl w:val="4888EF1F"/>
    <w:lvl w:ilvl="0" w:tentative="0">
      <w:start w:val="1"/>
      <w:numFmt w:val="chineseCounting"/>
      <w:suff w:val="nothing"/>
      <w:lvlText w:val="（%1）"/>
      <w:lvlJc w:val="left"/>
      <w:rPr>
        <w:rFonts w:hint="eastAsia"/>
      </w:rPr>
    </w:lvl>
  </w:abstractNum>
  <w:abstractNum w:abstractNumId="3">
    <w:nsid w:val="623E4831"/>
    <w:multiLevelType w:val="singleLevel"/>
    <w:tmpl w:val="623E4831"/>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2MzJhZDllMzY3MzFiYjIzZTcxZjlhYjM0M2NmMzMifQ=="/>
  </w:docVars>
  <w:rsids>
    <w:rsidRoot w:val="004506F9"/>
    <w:rsid w:val="0002229B"/>
    <w:rsid w:val="000273BD"/>
    <w:rsid w:val="00040CBC"/>
    <w:rsid w:val="000415B7"/>
    <w:rsid w:val="00041E3F"/>
    <w:rsid w:val="00055DAA"/>
    <w:rsid w:val="00061F7B"/>
    <w:rsid w:val="000658A3"/>
    <w:rsid w:val="00074155"/>
    <w:rsid w:val="000A3F69"/>
    <w:rsid w:val="000C2793"/>
    <w:rsid w:val="000E78BD"/>
    <w:rsid w:val="00103957"/>
    <w:rsid w:val="0011484E"/>
    <w:rsid w:val="00152C6D"/>
    <w:rsid w:val="00162D39"/>
    <w:rsid w:val="001678BD"/>
    <w:rsid w:val="00182373"/>
    <w:rsid w:val="001A67DB"/>
    <w:rsid w:val="001C3C29"/>
    <w:rsid w:val="001C6B7F"/>
    <w:rsid w:val="001D51E5"/>
    <w:rsid w:val="001E080D"/>
    <w:rsid w:val="001E1909"/>
    <w:rsid w:val="001E53D0"/>
    <w:rsid w:val="001F0C3B"/>
    <w:rsid w:val="00202C82"/>
    <w:rsid w:val="00211BCC"/>
    <w:rsid w:val="00214427"/>
    <w:rsid w:val="00226CB7"/>
    <w:rsid w:val="00264552"/>
    <w:rsid w:val="00264EF9"/>
    <w:rsid w:val="00265724"/>
    <w:rsid w:val="0027426B"/>
    <w:rsid w:val="00275572"/>
    <w:rsid w:val="002C0933"/>
    <w:rsid w:val="002E0A30"/>
    <w:rsid w:val="003130C4"/>
    <w:rsid w:val="00316C4B"/>
    <w:rsid w:val="0032192B"/>
    <w:rsid w:val="003479BD"/>
    <w:rsid w:val="0037197D"/>
    <w:rsid w:val="003768D5"/>
    <w:rsid w:val="00387E6D"/>
    <w:rsid w:val="00390A11"/>
    <w:rsid w:val="003926B9"/>
    <w:rsid w:val="003C47E6"/>
    <w:rsid w:val="003C4FC2"/>
    <w:rsid w:val="00416E61"/>
    <w:rsid w:val="0042790C"/>
    <w:rsid w:val="00433933"/>
    <w:rsid w:val="004506F9"/>
    <w:rsid w:val="004701B5"/>
    <w:rsid w:val="004717A2"/>
    <w:rsid w:val="00473DF3"/>
    <w:rsid w:val="00487911"/>
    <w:rsid w:val="00491741"/>
    <w:rsid w:val="004B0CEE"/>
    <w:rsid w:val="004B4ABB"/>
    <w:rsid w:val="004D5047"/>
    <w:rsid w:val="00500E5F"/>
    <w:rsid w:val="005122EF"/>
    <w:rsid w:val="0051441A"/>
    <w:rsid w:val="005154A1"/>
    <w:rsid w:val="00517C33"/>
    <w:rsid w:val="00517D5F"/>
    <w:rsid w:val="00522A2D"/>
    <w:rsid w:val="00523644"/>
    <w:rsid w:val="00523670"/>
    <w:rsid w:val="00532AED"/>
    <w:rsid w:val="0054069E"/>
    <w:rsid w:val="00544866"/>
    <w:rsid w:val="005767CC"/>
    <w:rsid w:val="005845BC"/>
    <w:rsid w:val="00590D9F"/>
    <w:rsid w:val="00595D26"/>
    <w:rsid w:val="005A74E6"/>
    <w:rsid w:val="005B404E"/>
    <w:rsid w:val="005D4D55"/>
    <w:rsid w:val="005E2CFB"/>
    <w:rsid w:val="005F2103"/>
    <w:rsid w:val="005F3D1C"/>
    <w:rsid w:val="0062378F"/>
    <w:rsid w:val="00641842"/>
    <w:rsid w:val="00642A57"/>
    <w:rsid w:val="00651EEC"/>
    <w:rsid w:val="006655F3"/>
    <w:rsid w:val="00686673"/>
    <w:rsid w:val="006911B3"/>
    <w:rsid w:val="00691E8C"/>
    <w:rsid w:val="006A22C4"/>
    <w:rsid w:val="006A351B"/>
    <w:rsid w:val="006B0422"/>
    <w:rsid w:val="006B0E8F"/>
    <w:rsid w:val="006C1B53"/>
    <w:rsid w:val="006D7730"/>
    <w:rsid w:val="006E5284"/>
    <w:rsid w:val="006F3EB5"/>
    <w:rsid w:val="00702E34"/>
    <w:rsid w:val="00704395"/>
    <w:rsid w:val="00710FE7"/>
    <w:rsid w:val="00711B36"/>
    <w:rsid w:val="00717621"/>
    <w:rsid w:val="00720FF1"/>
    <w:rsid w:val="0072675D"/>
    <w:rsid w:val="00727A53"/>
    <w:rsid w:val="00742F4A"/>
    <w:rsid w:val="00786D32"/>
    <w:rsid w:val="00787B42"/>
    <w:rsid w:val="007A7CAC"/>
    <w:rsid w:val="007C4539"/>
    <w:rsid w:val="007D4185"/>
    <w:rsid w:val="007E18CD"/>
    <w:rsid w:val="007F3657"/>
    <w:rsid w:val="00812ED5"/>
    <w:rsid w:val="008277D9"/>
    <w:rsid w:val="0084478C"/>
    <w:rsid w:val="00862163"/>
    <w:rsid w:val="0086638C"/>
    <w:rsid w:val="008A3E8D"/>
    <w:rsid w:val="008F26A2"/>
    <w:rsid w:val="009237C4"/>
    <w:rsid w:val="00944C48"/>
    <w:rsid w:val="00950252"/>
    <w:rsid w:val="00967F5D"/>
    <w:rsid w:val="009A0F95"/>
    <w:rsid w:val="009B2D83"/>
    <w:rsid w:val="009B3ADF"/>
    <w:rsid w:val="009B4D8E"/>
    <w:rsid w:val="009C3B52"/>
    <w:rsid w:val="009E6817"/>
    <w:rsid w:val="009E6E9A"/>
    <w:rsid w:val="009F1ECB"/>
    <w:rsid w:val="00A01D2B"/>
    <w:rsid w:val="00A33DB0"/>
    <w:rsid w:val="00A42218"/>
    <w:rsid w:val="00A66CB1"/>
    <w:rsid w:val="00A70249"/>
    <w:rsid w:val="00A70B02"/>
    <w:rsid w:val="00A71813"/>
    <w:rsid w:val="00A71D9F"/>
    <w:rsid w:val="00A92E9F"/>
    <w:rsid w:val="00AA2CD4"/>
    <w:rsid w:val="00AB18FF"/>
    <w:rsid w:val="00B251BE"/>
    <w:rsid w:val="00B33BEA"/>
    <w:rsid w:val="00B57C9F"/>
    <w:rsid w:val="00B63572"/>
    <w:rsid w:val="00B845B3"/>
    <w:rsid w:val="00B85D8B"/>
    <w:rsid w:val="00BB4A40"/>
    <w:rsid w:val="00BB5D6B"/>
    <w:rsid w:val="00BD6C3E"/>
    <w:rsid w:val="00BE3674"/>
    <w:rsid w:val="00C02722"/>
    <w:rsid w:val="00C10681"/>
    <w:rsid w:val="00C3049A"/>
    <w:rsid w:val="00C31B1E"/>
    <w:rsid w:val="00C62838"/>
    <w:rsid w:val="00C77645"/>
    <w:rsid w:val="00C91E83"/>
    <w:rsid w:val="00CE04C3"/>
    <w:rsid w:val="00CE76A0"/>
    <w:rsid w:val="00D148C6"/>
    <w:rsid w:val="00D17A8A"/>
    <w:rsid w:val="00D415BA"/>
    <w:rsid w:val="00D63780"/>
    <w:rsid w:val="00D644EE"/>
    <w:rsid w:val="00DD06FF"/>
    <w:rsid w:val="00DD5FE9"/>
    <w:rsid w:val="00DE3A76"/>
    <w:rsid w:val="00DE4F49"/>
    <w:rsid w:val="00E00C7A"/>
    <w:rsid w:val="00E02F3A"/>
    <w:rsid w:val="00E37D6C"/>
    <w:rsid w:val="00E55B68"/>
    <w:rsid w:val="00E561AE"/>
    <w:rsid w:val="00E67BE6"/>
    <w:rsid w:val="00E7021A"/>
    <w:rsid w:val="00E8683C"/>
    <w:rsid w:val="00EA2B72"/>
    <w:rsid w:val="00EF662E"/>
    <w:rsid w:val="00F132C6"/>
    <w:rsid w:val="00F74360"/>
    <w:rsid w:val="00F770C4"/>
    <w:rsid w:val="00FB462F"/>
    <w:rsid w:val="00FE16FA"/>
    <w:rsid w:val="00FE328A"/>
    <w:rsid w:val="00FE6269"/>
    <w:rsid w:val="00FF5CD6"/>
    <w:rsid w:val="01005C97"/>
    <w:rsid w:val="059958AD"/>
    <w:rsid w:val="06C857E7"/>
    <w:rsid w:val="073C1416"/>
    <w:rsid w:val="08AA0E37"/>
    <w:rsid w:val="08C24A73"/>
    <w:rsid w:val="09407D8F"/>
    <w:rsid w:val="0A3B216F"/>
    <w:rsid w:val="0CEA5470"/>
    <w:rsid w:val="0DC10BDB"/>
    <w:rsid w:val="0E1344BE"/>
    <w:rsid w:val="103F0670"/>
    <w:rsid w:val="106B68C8"/>
    <w:rsid w:val="1123133B"/>
    <w:rsid w:val="114F505F"/>
    <w:rsid w:val="117453FA"/>
    <w:rsid w:val="12583BA5"/>
    <w:rsid w:val="13BA5B9C"/>
    <w:rsid w:val="14726477"/>
    <w:rsid w:val="14F12195"/>
    <w:rsid w:val="17125CEF"/>
    <w:rsid w:val="18F169BC"/>
    <w:rsid w:val="19774710"/>
    <w:rsid w:val="1C0D1AB0"/>
    <w:rsid w:val="1C3E7702"/>
    <w:rsid w:val="1D97DEFF"/>
    <w:rsid w:val="1DFF72E5"/>
    <w:rsid w:val="1EFC6F07"/>
    <w:rsid w:val="1F0527A6"/>
    <w:rsid w:val="20444A22"/>
    <w:rsid w:val="22451A4A"/>
    <w:rsid w:val="22714212"/>
    <w:rsid w:val="22AC03C2"/>
    <w:rsid w:val="2380741F"/>
    <w:rsid w:val="23EA4232"/>
    <w:rsid w:val="249064A5"/>
    <w:rsid w:val="24D26ABE"/>
    <w:rsid w:val="24E7545A"/>
    <w:rsid w:val="25B571CB"/>
    <w:rsid w:val="25C96113"/>
    <w:rsid w:val="26996ED8"/>
    <w:rsid w:val="273210C5"/>
    <w:rsid w:val="289E484A"/>
    <w:rsid w:val="28B666AB"/>
    <w:rsid w:val="292A6EC8"/>
    <w:rsid w:val="2A824349"/>
    <w:rsid w:val="2B6521A4"/>
    <w:rsid w:val="2D6615EA"/>
    <w:rsid w:val="2E217C00"/>
    <w:rsid w:val="2FDF85B8"/>
    <w:rsid w:val="2FFFEE04"/>
    <w:rsid w:val="31B47C77"/>
    <w:rsid w:val="31C95635"/>
    <w:rsid w:val="32130B04"/>
    <w:rsid w:val="32292413"/>
    <w:rsid w:val="34DF85B0"/>
    <w:rsid w:val="354B70F1"/>
    <w:rsid w:val="361471E6"/>
    <w:rsid w:val="36F154C9"/>
    <w:rsid w:val="37184804"/>
    <w:rsid w:val="384E185F"/>
    <w:rsid w:val="3920094B"/>
    <w:rsid w:val="39602492"/>
    <w:rsid w:val="3B8F36BC"/>
    <w:rsid w:val="3BE270D6"/>
    <w:rsid w:val="3D680126"/>
    <w:rsid w:val="3E4E2D6D"/>
    <w:rsid w:val="3FBB48C6"/>
    <w:rsid w:val="3FE14F9C"/>
    <w:rsid w:val="41C932CA"/>
    <w:rsid w:val="42C64B8E"/>
    <w:rsid w:val="487A6019"/>
    <w:rsid w:val="491FF225"/>
    <w:rsid w:val="49F01E4F"/>
    <w:rsid w:val="4A2D4613"/>
    <w:rsid w:val="4A637A38"/>
    <w:rsid w:val="4E720846"/>
    <w:rsid w:val="4E832A53"/>
    <w:rsid w:val="4EAF55F6"/>
    <w:rsid w:val="4FFD214C"/>
    <w:rsid w:val="519F21F8"/>
    <w:rsid w:val="5352765A"/>
    <w:rsid w:val="55191A1B"/>
    <w:rsid w:val="563D62EC"/>
    <w:rsid w:val="56791467"/>
    <w:rsid w:val="56E12A0D"/>
    <w:rsid w:val="5777D4F5"/>
    <w:rsid w:val="57FE5D13"/>
    <w:rsid w:val="59566965"/>
    <w:rsid w:val="59DD8326"/>
    <w:rsid w:val="5AC3523A"/>
    <w:rsid w:val="5BF634BC"/>
    <w:rsid w:val="5DEF592A"/>
    <w:rsid w:val="5E961F9F"/>
    <w:rsid w:val="5FC6BB1E"/>
    <w:rsid w:val="5FD17945"/>
    <w:rsid w:val="5FF720F1"/>
    <w:rsid w:val="60A30F07"/>
    <w:rsid w:val="614147D4"/>
    <w:rsid w:val="63C416EC"/>
    <w:rsid w:val="652C12F7"/>
    <w:rsid w:val="65E10333"/>
    <w:rsid w:val="66CB49F2"/>
    <w:rsid w:val="67FF5C0B"/>
    <w:rsid w:val="689843E3"/>
    <w:rsid w:val="6AD4705F"/>
    <w:rsid w:val="6B2732DE"/>
    <w:rsid w:val="6B826114"/>
    <w:rsid w:val="6BAA4A2F"/>
    <w:rsid w:val="6E4F216A"/>
    <w:rsid w:val="6EFC0924"/>
    <w:rsid w:val="6F72448B"/>
    <w:rsid w:val="6FB74722"/>
    <w:rsid w:val="6FEF8B7E"/>
    <w:rsid w:val="71A6591B"/>
    <w:rsid w:val="737D59BA"/>
    <w:rsid w:val="737F32B1"/>
    <w:rsid w:val="7389424C"/>
    <w:rsid w:val="74434C39"/>
    <w:rsid w:val="75B13D8C"/>
    <w:rsid w:val="775C1311"/>
    <w:rsid w:val="77972F75"/>
    <w:rsid w:val="77C37683"/>
    <w:rsid w:val="78153E39"/>
    <w:rsid w:val="79FF515B"/>
    <w:rsid w:val="7C442F72"/>
    <w:rsid w:val="7E9E1962"/>
    <w:rsid w:val="7E9F11B4"/>
    <w:rsid w:val="7F37EC1E"/>
    <w:rsid w:val="7F5E434B"/>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Calibri" w:hAnsi="Calibri" w:eastAsia="宋体" w:cs="Times New Roman"/>
      <w:sz w:val="28"/>
      <w:szCs w:val="24"/>
    </w:rPr>
  </w:style>
  <w:style w:type="paragraph" w:styleId="3">
    <w:name w:val="toc 5"/>
    <w:basedOn w:val="1"/>
    <w:next w:val="1"/>
    <w:qFormat/>
    <w:uiPriority w:val="0"/>
    <w:pPr>
      <w:ind w:left="1680" w:leftChars="800"/>
    </w:p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7"/>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paragraph" w:styleId="10">
    <w:name w:val="Normal (Web)"/>
    <w:basedOn w:val="1"/>
    <w:qFormat/>
    <w:uiPriority w:val="0"/>
    <w:pPr>
      <w:spacing w:before="100" w:beforeAutospacing="1" w:after="100" w:afterAutospacing="1"/>
      <w:jc w:val="left"/>
    </w:pPr>
    <w:rPr>
      <w:rFonts w:cs="Times New Roman"/>
      <w:kern w:val="0"/>
      <w:sz w:val="24"/>
    </w:rPr>
  </w:style>
  <w:style w:type="character" w:customStyle="1" w:styleId="13">
    <w:name w:val="页眉 字符"/>
    <w:basedOn w:val="12"/>
    <w:link w:val="8"/>
    <w:qFormat/>
    <w:uiPriority w:val="99"/>
    <w:rPr>
      <w:sz w:val="18"/>
      <w:szCs w:val="18"/>
    </w:rPr>
  </w:style>
  <w:style w:type="character" w:customStyle="1" w:styleId="14">
    <w:name w:val="页脚 字符"/>
    <w:basedOn w:val="12"/>
    <w:link w:val="7"/>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字符"/>
    <w:basedOn w:val="12"/>
    <w:link w:val="6"/>
    <w:semiHidden/>
    <w:qFormat/>
    <w:uiPriority w:val="99"/>
    <w:rPr>
      <w:sz w:val="18"/>
      <w:szCs w:val="18"/>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eastAsia" w:ascii="宋体" w:hAnsi="宋体" w:eastAsia="宋体" w:cs="宋体"/>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7604</Words>
  <Characters>8217</Characters>
  <Lines>63</Lines>
  <Paragraphs>17</Paragraphs>
  <TotalTime>35</TotalTime>
  <ScaleCrop>false</ScaleCrop>
  <LinksUpToDate>false</LinksUpToDate>
  <CharactersWithSpaces>8249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2024-09-22T15:56:00Z</dcterms:created>
  <dc:creator>李航 null</dc:creator>
  <cp:lastModifiedBy>王木木</cp:lastModifiedBy>
  <cp:lastPrinted>2024-08-08T10:20:00Z</cp:lastPrinted>
  <dcterms:modified xsi:type="dcterms:W3CDTF">2025-09-24T06:50:43Z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0C16EEF8D20148A1A0E62556BE94654F_13</vt:lpwstr>
  </property>
  <property fmtid="{D5CDD505-2E9C-101B-9397-08002B2CF9AE}" pid="4" name="KSOTemplateDocerSaveRecord">
    <vt:lpwstr>eyJoZGlkIjoiZTIwYjE2NzhkNDM2Y2Y5NzI2YzFkODFmZGY5MzM4MWUiLCJ1c2VySWQiOiIyMDc1NzM5OTgifQ==</vt:lpwstr>
  </property>
</Properties>
</file>