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84"/>
          <w:szCs w:val="84"/>
        </w:rPr>
      </w:pPr>
    </w:p>
    <w:p>
      <w:pPr>
        <w:pStyle w:val="15"/>
        <w:jc w:val="center"/>
        <w:rPr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岳阳市城市照明管理中心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center"/>
        <w:rPr>
          <w:sz w:val="56"/>
          <w:szCs w:val="56"/>
        </w:rPr>
      </w:pPr>
    </w:p>
    <w:p>
      <w:pPr>
        <w:pStyle w:val="15"/>
        <w:jc w:val="both"/>
        <w:rPr>
          <w:sz w:val="32"/>
          <w:szCs w:val="32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jc w:val="center"/>
        <w:rPr>
          <w:sz w:val="32"/>
          <w:szCs w:val="32"/>
        </w:rPr>
      </w:pPr>
    </w:p>
    <w:p>
      <w:pPr>
        <w:pStyle w:val="15"/>
        <w:spacing w:line="540" w:lineRule="exact"/>
        <w:jc w:val="center"/>
        <w:rPr>
          <w:sz w:val="56"/>
          <w:szCs w:val="56"/>
        </w:rPr>
      </w:pPr>
    </w:p>
    <w:p>
      <w:pPr>
        <w:pStyle w:val="15"/>
        <w:spacing w:line="500" w:lineRule="exact"/>
        <w:jc w:val="both"/>
        <w:rPr>
          <w:b/>
          <w:sz w:val="36"/>
          <w:szCs w:val="28"/>
        </w:rPr>
      </w:pPr>
    </w:p>
    <w:p>
      <w:pPr>
        <w:pStyle w:val="15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28"/>
          <w:szCs w:val="28"/>
        </w:rPr>
        <w:t>岳阳市城市照明管理中心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5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绩效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情况的说明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5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岳阳市城市照明管理中心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概况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3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16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numPr>
          <w:ilvl w:val="0"/>
          <w:numId w:val="0"/>
        </w:numPr>
        <w:ind w:leftChars="304"/>
        <w:jc w:val="left"/>
        <w:rPr>
          <w:rFonts w:hint="eastAsia" w:ascii="CESI仿宋-GB2312" w:hAnsi="CESI仿宋-GB2312" w:eastAsia="CESI仿宋-GB2312" w:cs="CESI仿宋-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</w:rPr>
        <w:t>承担城市道路照明及景观亮化设施设备的日常维护管理工作；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</w:t>
      </w:r>
      <w:r>
        <w:rPr>
          <w:rFonts w:hint="eastAsia" w:ascii="CESI仿宋-GB2312" w:hAnsi="CESI仿宋-GB2312" w:eastAsia="CESI仿宋-GB2312" w:cs="CESI仿宋-GB2312"/>
          <w:sz w:val="32"/>
        </w:rPr>
        <w:t>承担城市道路照明及景观亮化工程的建设工作；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lang w:eastAsia="zh-CN"/>
        </w:rPr>
        <w:t>（三）</w:t>
      </w:r>
      <w:r>
        <w:rPr>
          <w:rFonts w:hint="eastAsia" w:ascii="CESI仿宋-GB2312" w:hAnsi="CESI仿宋-GB2312" w:eastAsia="CESI仿宋-GB2312" w:cs="CESI仿宋-GB2312"/>
          <w:sz w:val="32"/>
        </w:rPr>
        <w:t>承担社会产权单位（个人）景观亮化建设工程的技术服务工作。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  <w:r>
        <w:rPr>
          <w:rFonts w:hint="eastAsia" w:ascii="CESI仿宋-GB2312" w:hAnsi="CESI仿宋-GB2312" w:eastAsia="CESI仿宋-GB2312" w:cs="CESI仿宋-GB2312"/>
          <w:bCs/>
          <w:kern w:val="0"/>
          <w:sz w:val="32"/>
          <w:szCs w:val="32"/>
          <w:lang w:eastAsia="zh-CN"/>
        </w:rPr>
        <w:t>岳阳市城市照明管理中心</w:t>
      </w:r>
      <w:r>
        <w:rPr>
          <w:rFonts w:hint="eastAsia" w:ascii="CESI仿宋-GB2312" w:hAnsi="CESI仿宋-GB2312" w:eastAsia="CESI仿宋-GB2312" w:cs="CESI仿宋-GB2312"/>
          <w:bCs/>
          <w:kern w:val="0"/>
          <w:sz w:val="32"/>
          <w:szCs w:val="32"/>
        </w:rPr>
        <w:t>内设机构包括：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综合部、财务部、运行管理部、景观亮化维护部、技术服务部、信息考</w:t>
      </w:r>
      <w:r>
        <w:rPr>
          <w:rFonts w:hint="eastAsia" w:ascii="仿宋" w:hAnsi="仿宋" w:eastAsia="仿宋"/>
          <w:sz w:val="32"/>
          <w:szCs w:val="32"/>
          <w:lang w:eastAsia="zh-CN"/>
        </w:rPr>
        <w:t>评部</w:t>
      </w:r>
      <w:r>
        <w:rPr>
          <w:rFonts w:hint="eastAsia"/>
          <w:sz w:val="32"/>
          <w:szCs w:val="32"/>
          <w:lang w:eastAsia="zh-CN"/>
        </w:rPr>
        <w:t>、安全管理部、路灯维护一部、路灯维护二部九</w:t>
      </w:r>
      <w:r>
        <w:rPr>
          <w:rFonts w:hint="eastAsia" w:ascii="CESI仿宋-GB2312" w:hAnsi="CESI仿宋-GB2312" w:eastAsia="CESI仿宋-GB2312" w:cs="CESI仿宋-GB2312"/>
          <w:sz w:val="32"/>
          <w:lang w:eastAsia="zh-CN"/>
        </w:rPr>
        <w:t>个职能部室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eastAsia="zh-CN"/>
        </w:rPr>
        <w:t>本单位无独立核算的下属单位，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2024年度部门决算汇总公开单位仅包括</w:t>
      </w:r>
      <w:r>
        <w:rPr>
          <w:rFonts w:hint="eastAsia" w:ascii="CESI仿宋-GB2312" w:hAnsi="CESI仿宋-GB2312" w:eastAsia="CESI仿宋-GB2312" w:cs="CESI仿宋-GB2312"/>
          <w:bCs/>
          <w:color w:val="auto"/>
          <w:kern w:val="0"/>
          <w:sz w:val="32"/>
          <w:szCs w:val="32"/>
          <w:lang w:eastAsia="zh-CN"/>
        </w:rPr>
        <w:t>岳阳市城市照明管理中心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本级</w:t>
      </w:r>
      <w:r>
        <w:rPr>
          <w:rFonts w:hint="eastAsia" w:ascii="CESI仿宋-GB2312" w:hAnsi="CESI仿宋-GB2312" w:eastAsia="CESI仿宋-GB2312" w:cs="CESI仿宋-GB2312"/>
          <w:i/>
          <w:iCs/>
          <w:color w:val="auto"/>
          <w:sz w:val="32"/>
          <w:szCs w:val="32"/>
          <w:highlight w:val="white"/>
        </w:rPr>
        <w:t>。</w:t>
      </w: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/>
          <w:i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5359.87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10.86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响应政府号召，经费压减，节约开支。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5359.87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4620.53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86.21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739.34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13.79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5359.87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1031.73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4328.14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80.75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4620.53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892.59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16.19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经费压减，节约开支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4620.53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86.21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892.59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16.19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经费压减，节约开支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4620.53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万元，主要用于以下方面：社会保障和就业（类）支出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1.93</w:t>
      </w:r>
      <w:r>
        <w:rPr>
          <w:rFonts w:hint="eastAsia" w:ascii="仿宋_GB2312" w:hAnsi="仿宋_GB2312" w:eastAsia="仿宋_GB2312" w:cs="仿宋_GB2312"/>
          <w:sz w:val="32"/>
          <w:szCs w:val="32"/>
        </w:rPr>
        <w:t>%；住房保障（类）支出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1.32</w:t>
      </w:r>
      <w:r>
        <w:rPr>
          <w:rFonts w:hint="eastAsia" w:ascii="仿宋_GB2312" w:hAnsi="仿宋_GB2312" w:eastAsia="仿宋_GB2312" w:cs="仿宋_GB2312"/>
          <w:sz w:val="32"/>
          <w:szCs w:val="32"/>
        </w:rPr>
        <w:t>%;城乡社区（类）支出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4470.32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96.75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4697.56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含上年结转资金84.51万元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年中预算调整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45.85万元）。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4620.53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98.36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（类）行政事业单位养老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（款）机关事业单位基本养老保险缴费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（类）其他社会保障和就业支出（款）其他社会保障和就业支出（项）。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、社会保障和就业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（类）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残疾人事业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（款）其他残疾人事业支出（项）。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年初预算为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6.41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万元，支出决算为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6.41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、住房保障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住房改革支出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（款）住房公积金（项）。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城乡社区规划与管理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 城乡社区规划与管理（项）。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黑体" w:hAnsi="黑体" w:eastAsia="仿宋_GB2312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4499.35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4127.10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91.73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响应政府号召，经费压减，节约开支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其他城乡社区支出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 其他城乡社区支出（项）。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黑体" w:hAnsi="黑体" w:eastAsia="仿宋_GB2312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175.69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经开区路灯所单位转隶，电费增多。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城乡社区管理事务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（款）其他城乡社区管理事务支出（项）。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年中财政增拨了城区绿色照明改造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和部分路段路灯改造预算经费。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、城乡社区支出（类）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城乡社区管理事务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（款）行政运行（项）。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年中财政增拨了工资补差经费。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1031.73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920.52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89.22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绩效工资、机关事业单位基本养老保险缴费、职工基本医疗保险缴费、其他社会保障缴费、住房公积金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对个人和家庭的补助、退休费、抚恤金、医疗费补助、奖励金、其他对个人和家庭的补助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水费、邮电费、物业管理费、差旅费、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维修（护）费、公务接待费、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工会经费、福利费、公务用车运行维护费、其他交通费用、其他商品和服务支出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年度政府性基金预算财政拨款收入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万元；年初结转和结余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/>
          <w:color w:val="auto"/>
          <w:kern w:val="0"/>
          <w:sz w:val="32"/>
          <w:szCs w:val="32"/>
          <w:lang w:val="en-US" w:eastAsia="zh-CN" w:bidi="ar-SA"/>
        </w:rPr>
        <w:t>2024年度国有资本经营预算财政拨款收入0万元；年初结转和结余0万元；支出0万元，其中：基本支出0万元，项目支出0万元；年末结转和结余0万元。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“三公”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经费财政拨款支出决算总体情况说明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2024年度“三公”经费财政拨款支出预算为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36.53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（其中包括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2023年结转5.53万元）</w:t>
      </w:r>
      <w:r>
        <w:rPr>
          <w:rFonts w:ascii="Times New Roman" w:hAnsi="Times New Roman" w:eastAsia="仿宋_GB2312" w:cs="Times New Roman"/>
          <w:sz w:val="32"/>
          <w:szCs w:val="32"/>
        </w:rPr>
        <w:t>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31.21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85.44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6.63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26.97</w:t>
      </w:r>
      <w:r>
        <w:rPr>
          <w:rFonts w:ascii="Times New Roman" w:hAnsi="Times New Roman" w:eastAsia="仿宋_GB2312" w:cs="Times New Roman"/>
          <w:sz w:val="32"/>
          <w:szCs w:val="32"/>
        </w:rPr>
        <w:t>%。决算数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小</w:t>
      </w:r>
      <w:r>
        <w:rPr>
          <w:rFonts w:ascii="Times New Roman" w:hAnsi="Times New Roman" w:eastAsia="仿宋_GB2312" w:cs="Times New Roman"/>
          <w:sz w:val="32"/>
          <w:szCs w:val="32"/>
        </w:rPr>
        <w:t>于预算数的主要原因是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上一年经费结转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决算数大于上年数的主要原因是增加了经开区路灯所转隶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5台公务用车。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“三公”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经费财政拨款支出决算具体情况说明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我单位严格按预算执行决算；与上年一致，无增减变动，主要原因是未安排因公出国（境）活动。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公务用车购置费及运行维护费支出预算为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（其中包括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2023年结转5.53万元）</w:t>
      </w:r>
      <w:r>
        <w:rPr>
          <w:rFonts w:ascii="Times New Roman" w:hAnsi="Times New Roman" w:eastAsia="仿宋_GB2312" w:cs="Times New Roman"/>
          <w:sz w:val="32"/>
          <w:szCs w:val="32"/>
        </w:rPr>
        <w:t>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31.08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87.48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6.61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27.01</w:t>
      </w:r>
      <w:r>
        <w:rPr>
          <w:rFonts w:ascii="Times New Roman" w:hAnsi="Times New Roman" w:eastAsia="仿宋_GB2312" w:cs="Times New Roman"/>
          <w:sz w:val="32"/>
          <w:szCs w:val="32"/>
        </w:rPr>
        <w:t>%。其中：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公务用车购置费支出预算为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万元，支出决算为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万元，决算数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于预算数的主要原因是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我单位严格按预算执行决算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与上年一致，无增减变动，主要原因是当年没有购置公务用车。</w:t>
      </w:r>
    </w:p>
    <w:p>
      <w:pPr>
        <w:pStyle w:val="15"/>
        <w:overflowPunct w:val="0"/>
        <w:autoSpaceDE/>
        <w:autoSpaceDN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公务用车运行维护费支出预算为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35.53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（其中包括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2023年结转5.53万元）</w:t>
      </w:r>
      <w:r>
        <w:rPr>
          <w:rFonts w:ascii="Times New Roman" w:hAnsi="Times New Roman" w:eastAsia="仿宋_GB2312" w:cs="Times New Roman"/>
          <w:sz w:val="32"/>
          <w:szCs w:val="32"/>
        </w:rPr>
        <w:t>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31.08</w:t>
      </w:r>
      <w:r>
        <w:rPr>
          <w:rFonts w:ascii="Times New Roman" w:hAnsi="Times New Roman" w:eastAsia="仿宋_GB2312" w:cs="Times New Roman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路灯及亮化维护作业专用车辆运行维护经费</w:t>
      </w:r>
      <w:r>
        <w:rPr>
          <w:rFonts w:ascii="Times New Roman" w:hAnsi="Times New Roman" w:eastAsia="仿宋_GB2312" w:cs="Times New Roman"/>
          <w:sz w:val="32"/>
          <w:szCs w:val="32"/>
        </w:rPr>
        <w:t>支出，完成预算的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87.48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6.61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27.01</w:t>
      </w:r>
      <w:r>
        <w:rPr>
          <w:rFonts w:ascii="Times New Roman" w:hAnsi="Times New Roman" w:eastAsia="仿宋_GB2312" w:cs="Times New Roman"/>
          <w:sz w:val="32"/>
          <w:szCs w:val="32"/>
        </w:rPr>
        <w:t>%。决算数小于预算数的主要原因是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坚持厉行节约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压减一般性支出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。决算数大于上年数的主要原因是增加了经开区路灯所转隶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5台公务用车。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截止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到</w:t>
      </w:r>
      <w:r>
        <w:rPr>
          <w:rFonts w:ascii="Times New Roman" w:hAnsi="Times New Roman" w:eastAsia="仿宋_GB2312" w:cs="Times New Roman"/>
          <w:sz w:val="32"/>
          <w:szCs w:val="32"/>
        </w:rPr>
        <w:t>2024年12月31日，我单位开支财政拨款的公务用车保有量为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辆。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公务接待费支出预算为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1.00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0.13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0.02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18.18</w:t>
      </w:r>
      <w:r>
        <w:rPr>
          <w:rFonts w:ascii="Times New Roman" w:hAnsi="Times New Roman" w:eastAsia="仿宋_GB2312" w:cs="Times New Roman"/>
          <w:sz w:val="32"/>
          <w:szCs w:val="32"/>
        </w:rPr>
        <w:t>%。决算数小于预算数的主要原因是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严格执行中央八项规定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决算数大于上年数的主要原因是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严格执行中央八项规定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，来访人数有所增加。</w:t>
      </w:r>
      <w:r>
        <w:rPr>
          <w:rFonts w:ascii="Times New Roman" w:hAnsi="Times New Roman" w:eastAsia="仿宋_GB2312" w:cs="Times New Roman"/>
          <w:sz w:val="32"/>
          <w:szCs w:val="32"/>
        </w:rPr>
        <w:t>2024年度共接待来访团组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个、来宾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人次，主要是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城市照明安全运行及规范管理工作情况调研评估</w:t>
      </w:r>
      <w:r>
        <w:rPr>
          <w:rFonts w:ascii="Times New Roman" w:hAnsi="Times New Roman" w:eastAsia="仿宋_GB2312" w:cs="Times New Roman"/>
          <w:sz w:val="32"/>
          <w:szCs w:val="32"/>
        </w:rPr>
        <w:t>发生的接待支出。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5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单位为全额拨款事业单位，按照机关运行经费的口径，本年度机关运行经费为0。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5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本单位无会议费的预算和支出决算数；无培训费的预算和支出决算数；无举办节庆、晚会、论坛、赛事等活动的预算和支出决算数。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1190.98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543.84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488.57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1190.98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1190.98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辆，其他用车主要是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照明设施维护管理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生产用车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绩效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管理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情况的说明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（一）绩效评价工作开展情况</w:t>
      </w:r>
    </w:p>
    <w:p>
      <w:pPr>
        <w:overflowPunct w:val="0"/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绩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效自评开展情况。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组织对2024年度本部门（单位）整体支出开展绩效自评，涉及项目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个，共涉及资金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4328.14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万元。其中，一般公共预算项目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4328.14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万元，占一般公共预算支出总额的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%；政府性基金预算项目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（由于政府性基金预算项目支出总额为0，故无法计算占政府性基金预算项目支出总额比重）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；国有资本经营预算项目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（由于国有资本经营预算项目支出总额为0，故无法计算占国有资本经营预算项目支出总额的比重）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社会保险基金预算项目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（由于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社会保险基金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预算项目支出总额为0，故无法计算占国有资本经营预算项目支出总额的比重）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部门评价开展情况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本单位为二级预算单位，部门评价开展情况可详见上级部门决算公开说明。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事前绩效评估开展情况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：本单位为二级预算单位，事前绩效评估开展情况可详见上级部门决算公开说明。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（二）绩效评价结果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绩效自评结果。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2024年度本部门（单位）整体支出</w:t>
      </w:r>
      <w:r>
        <w:rPr>
          <w:rFonts w:ascii="Times New Roman" w:hAnsi="Times New Roman" w:eastAsia="仿宋_GB2312" w:cs="Times New Roman"/>
          <w:sz w:val="32"/>
          <w:szCs w:val="32"/>
        </w:rPr>
        <w:t>全年预算数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5483.07</w:t>
      </w:r>
      <w:r>
        <w:rPr>
          <w:rFonts w:ascii="Times New Roman" w:hAnsi="Times New Roman" w:eastAsia="仿宋_GB2312" w:cs="Times New Roman"/>
          <w:sz w:val="32"/>
          <w:szCs w:val="32"/>
        </w:rPr>
        <w:t>万元，执行数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5359.87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97.75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，绩效自评得分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97.78</w:t>
      </w:r>
      <w:r>
        <w:rPr>
          <w:rFonts w:ascii="Times New Roman" w:hAnsi="Times New Roman" w:eastAsia="仿宋_GB2312" w:cs="Times New Roman"/>
          <w:sz w:val="32"/>
          <w:szCs w:val="32"/>
        </w:rPr>
        <w:t>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，评价等级为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优秀</w:t>
      </w:r>
      <w:r>
        <w:rPr>
          <w:rFonts w:ascii="Times New Roman" w:hAnsi="Times New Roman" w:eastAsia="仿宋_GB2312" w:cs="Times New Roman"/>
          <w:sz w:val="32"/>
          <w:szCs w:val="32"/>
        </w:rPr>
        <w:t>”。绩效目标完成情况：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目标1：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不断提高维护管养水平和公共服务意识，保障城区主次干道路灯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0664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及小街巷路灯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4229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）和公用亮化设施（功率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4008.2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KW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正常运行；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目标2：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美化、亮化城市，提升岳阳城市形象，方便市民夜间出行，保障夜间道路安全；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目标3：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指导中心城区夜景亮化方案的设计，新建楼宇亮化方案审批及亮化单位用电量计量管理，协助城区夜景亮化工程的施工检查、竣工验收；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目标4：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实施中心城区路灯节能改造，达到节约电力资源，建设生态绿色城市的目标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6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目标1完成情况：路灯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维护管养水平和公共服务意识不断提高，保障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城区主次干道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路灯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0664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及小街巷路灯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4229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）和公用亮化设施（功率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4008.2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KW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正常运行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目标2完成情况：加大了路灯及公用亮化设施的维护力度，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美化、亮化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夜间环境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岳阳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城市整体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形象，方便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市民夜间出行，保障夜间道路安全；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目标3完成情况：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为中心城区夜景亮化方案的设计提出了建设性意见，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完成了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新建楼宇亮化方案审批及亮化单位用电量计量管理，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完成了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城区夜景亮化工程的施工检查、竣工验收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目标4完成情况：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中心城区路灯节能改造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工作有序推进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，节约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电力资源，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城市照明事业发展向着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建设生态绿色城市的目标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奋进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发现的主要问题及原因：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目前，中心城区除经开区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路灯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由我中心管理外，岳阳楼区、南湖新区城市照明仍由属地管理，由于管理制度、人员、技术、设备存在差别，路灯维护标准不一，维护水平参差不齐，甚至亮灯时间都不一致，导致城市照明工作难以统一协调、有序发展。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CESI仿宋-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下一步改进措施：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岳阳楼区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南湖新区城市照明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管理单位的沟通协调，统一相关标准，如亮灯时间、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路灯维护标准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等，推动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城市照明管理事业高质量发展，进一步提升城市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夜间环境的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艺术性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部门评价结果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：本单位为二级预算单位，部门评价结果可详见上级部门决算公开说明。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前绩效评估结果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：本单位为二级预算单位，事前绩效评估结果可详见上级部门决算公开说明。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评价结果应用情况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u w:val="none"/>
          <w:shd w:val="clear" w:color="auto" w:fill="FFFFFF"/>
        </w:rPr>
        <w:t>评价小组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依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岳阳市财政局《关于印发&lt;岳阳市市级预算部门绩效自评操作规程&gt;的通知》，结合绩效目标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u w:val="none"/>
          <w:shd w:val="clear" w:color="auto" w:fill="FFFFFF"/>
          <w:lang w:val="en-US" w:eastAsia="zh-CN"/>
        </w:rPr>
        <w:t>对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>岳阳市城市照明管理中心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资金支出情况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u w:val="none"/>
          <w:shd w:val="clear" w:color="auto" w:fill="FFFFFF"/>
          <w:lang w:val="en-US" w:eastAsia="zh-CN"/>
        </w:rPr>
        <w:t>进行了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u w:val="none"/>
          <w:shd w:val="clear" w:color="auto" w:fill="FFFFFF"/>
        </w:rPr>
        <w:t>定量和定性分析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单位整体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绩效评价最后得分为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" w:eastAsia="zh-CN"/>
        </w:rPr>
        <w:t>7.78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分，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从绩效评价总体情况来看，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2025年度预算资金安排合理，单位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资金支出规范，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整体支出绩效良好，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达到了年初绩效目标要求，将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整体支出绩效自评结果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作为完善本单位相关制度，改进资金管理的重要依据，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积极推动了城市照明管理事业发展，为我市建设省域副中心城市奠定了坚实基础。</w:t>
      </w:r>
    </w:p>
    <w:p>
      <w:pPr>
        <w:pStyle w:val="2"/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楷体" w:hAnsi="楷体" w:eastAsia="楷体" w:cs="楷体"/>
          <w:b/>
          <w:bCs/>
          <w:i w:val="0"/>
          <w:iCs w:val="0"/>
          <w:color w:val="FF0000"/>
          <w:kern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sz w:val="72"/>
          <w:szCs w:val="72"/>
        </w:rPr>
      </w:pP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24"/>
          <w:szCs w:val="24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/>
    <w:p>
      <w:pPr>
        <w:pStyle w:val="2"/>
      </w:pP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5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5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ECFD4"/>
    <w:multiLevelType w:val="singleLevel"/>
    <w:tmpl w:val="8EDECFD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mZhYjQ5ZWIyNWQ1MDk1ZGZjZmI4NGExNWQyMmU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B4D8E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06779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59958AD"/>
    <w:rsid w:val="066B6E1B"/>
    <w:rsid w:val="06C857E7"/>
    <w:rsid w:val="078B7BBE"/>
    <w:rsid w:val="08C24A73"/>
    <w:rsid w:val="0B797410"/>
    <w:rsid w:val="0CC31384"/>
    <w:rsid w:val="11944E2C"/>
    <w:rsid w:val="12583BA5"/>
    <w:rsid w:val="13BA5B9C"/>
    <w:rsid w:val="174322C1"/>
    <w:rsid w:val="1D97DEFF"/>
    <w:rsid w:val="1DFF72E5"/>
    <w:rsid w:val="1EFC6F07"/>
    <w:rsid w:val="1F0527A6"/>
    <w:rsid w:val="22AC03C2"/>
    <w:rsid w:val="283B15FE"/>
    <w:rsid w:val="2FDF85B8"/>
    <w:rsid w:val="2FFFEE04"/>
    <w:rsid w:val="31C95635"/>
    <w:rsid w:val="34DF85B0"/>
    <w:rsid w:val="397E6CD6"/>
    <w:rsid w:val="3B8F36BC"/>
    <w:rsid w:val="43EB5BA5"/>
    <w:rsid w:val="46CB44FC"/>
    <w:rsid w:val="488E1C47"/>
    <w:rsid w:val="491FF225"/>
    <w:rsid w:val="4EC310A1"/>
    <w:rsid w:val="4FFD214C"/>
    <w:rsid w:val="5352765A"/>
    <w:rsid w:val="5777D4F5"/>
    <w:rsid w:val="57F22B6F"/>
    <w:rsid w:val="59DD8326"/>
    <w:rsid w:val="5DEF592A"/>
    <w:rsid w:val="5FC6BB1E"/>
    <w:rsid w:val="5FF720F1"/>
    <w:rsid w:val="60CB234C"/>
    <w:rsid w:val="622964C1"/>
    <w:rsid w:val="67FF5C0B"/>
    <w:rsid w:val="6BAA4A2F"/>
    <w:rsid w:val="6DDEC5C0"/>
    <w:rsid w:val="6EFC0924"/>
    <w:rsid w:val="6FB74722"/>
    <w:rsid w:val="6FEF8B7E"/>
    <w:rsid w:val="717FE77F"/>
    <w:rsid w:val="71A6591B"/>
    <w:rsid w:val="737D59BA"/>
    <w:rsid w:val="737F32B1"/>
    <w:rsid w:val="73BD3FCA"/>
    <w:rsid w:val="776BDA01"/>
    <w:rsid w:val="77C37683"/>
    <w:rsid w:val="77D73F0C"/>
    <w:rsid w:val="79FF515B"/>
    <w:rsid w:val="7DFBFF20"/>
    <w:rsid w:val="7E9E1962"/>
    <w:rsid w:val="7E9F11B4"/>
    <w:rsid w:val="7F37EC1E"/>
    <w:rsid w:val="7F7C0DDA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B6BE5A03"/>
    <w:rsid w:val="B8C93228"/>
    <w:rsid w:val="C3B4DA5A"/>
    <w:rsid w:val="C4FF458C"/>
    <w:rsid w:val="C7BBD038"/>
    <w:rsid w:val="CBFF70E0"/>
    <w:rsid w:val="CFF50B82"/>
    <w:rsid w:val="CFFFAD89"/>
    <w:rsid w:val="DFFE359E"/>
    <w:rsid w:val="DFFE4FFD"/>
    <w:rsid w:val="DFFF5403"/>
    <w:rsid w:val="EBC3E00A"/>
    <w:rsid w:val="EDFBE100"/>
    <w:rsid w:val="EEABED75"/>
    <w:rsid w:val="EF7E8003"/>
    <w:rsid w:val="F56FDF51"/>
    <w:rsid w:val="F5F3EE78"/>
    <w:rsid w:val="F6B69F17"/>
    <w:rsid w:val="F6E5BB3A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94102"/>
    <w:rsid w:val="FFFF1C8B"/>
    <w:rsid w:val="FF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unhideWhenUsed/>
    <w:qFormat/>
    <w:uiPriority w:val="99"/>
    <w:pPr>
      <w:ind w:firstLine="420" w:firstLineChars="100"/>
    </w:pPr>
  </w:style>
  <w:style w:type="character" w:customStyle="1" w:styleId="1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5773</Words>
  <Characters>6366</Characters>
  <Lines>63</Lines>
  <Paragraphs>18</Paragraphs>
  <TotalTime>24</TotalTime>
  <ScaleCrop>false</ScaleCrop>
  <LinksUpToDate>false</LinksUpToDate>
  <CharactersWithSpaces>6392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2020-07-10T18:32:00Z</dcterms:created>
  <dc:creator>李航 null</dc:creator>
  <cp:lastModifiedBy>Administrator</cp:lastModifiedBy>
  <cp:lastPrinted>2024-08-11T02:20:00Z</cp:lastPrinted>
  <dcterms:modified xsi:type="dcterms:W3CDTF">2025-09-23T08:35:10Z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98623D6660B449428EB8E073C6C952EA</vt:lpwstr>
  </property>
</Properties>
</file>