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B2F407">
      <w:pPr>
        <w:pStyle w:val="16"/>
        <w:jc w:val="center"/>
        <w:rPr>
          <w:sz w:val="56"/>
          <w:szCs w:val="56"/>
        </w:rPr>
      </w:pPr>
    </w:p>
    <w:p w14:paraId="60E1CA3E">
      <w:pPr>
        <w:pStyle w:val="16"/>
        <w:jc w:val="center"/>
        <w:rPr>
          <w:sz w:val="56"/>
          <w:szCs w:val="56"/>
        </w:rPr>
      </w:pPr>
    </w:p>
    <w:p w14:paraId="004EC3C7">
      <w:pPr>
        <w:pStyle w:val="16"/>
        <w:jc w:val="center"/>
        <w:rPr>
          <w:sz w:val="84"/>
          <w:szCs w:val="84"/>
        </w:rPr>
      </w:pPr>
    </w:p>
    <w:p w14:paraId="698DC96C">
      <w:pPr>
        <w:pStyle w:val="16"/>
        <w:jc w:val="center"/>
        <w:rPr>
          <w:sz w:val="84"/>
          <w:szCs w:val="84"/>
        </w:rPr>
      </w:pPr>
    </w:p>
    <w:p w14:paraId="56D821E1">
      <w:pPr>
        <w:pStyle w:val="16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  <w:r>
        <w:rPr>
          <w:rFonts w:hint="eastAsia" w:ascii="方正小标宋_GBK" w:hAnsi="方正小标宋_GBK" w:eastAsia="方正小标宋_GBK" w:cs="方正小标宋_GBK"/>
          <w:sz w:val="84"/>
          <w:szCs w:val="84"/>
        </w:rPr>
        <w:t>202</w:t>
      </w:r>
      <w:r>
        <w:rPr>
          <w:rFonts w:hint="eastAsia" w:ascii="方正小标宋_GBK" w:hAnsi="方正小标宋_GBK" w:eastAsia="方正小标宋_GBK" w:cs="方正小标宋_GBK"/>
          <w:sz w:val="84"/>
          <w:szCs w:val="8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84"/>
          <w:szCs w:val="84"/>
        </w:rPr>
        <w:t>年度</w:t>
      </w:r>
      <w:r>
        <w:rPr>
          <w:rFonts w:hint="eastAsia" w:ascii="方正小标宋简体" w:hAnsi="方正小标宋简体" w:eastAsia="方正小标宋简体" w:cs="方正小标宋简体"/>
          <w:sz w:val="84"/>
          <w:szCs w:val="84"/>
        </w:rPr>
        <w:t>岳阳市固体废物处置服务中心</w:t>
      </w:r>
      <w:r>
        <w:rPr>
          <w:rFonts w:hint="eastAsia" w:ascii="方正小标宋_GBK" w:hAnsi="方正小标宋_GBK" w:eastAsia="方正小标宋_GBK" w:cs="方正小标宋_GBK"/>
          <w:sz w:val="84"/>
          <w:szCs w:val="84"/>
        </w:rPr>
        <w:t>部门决算</w:t>
      </w:r>
    </w:p>
    <w:p w14:paraId="62965033">
      <w:pPr>
        <w:pStyle w:val="16"/>
        <w:jc w:val="center"/>
        <w:rPr>
          <w:rFonts w:hint="eastAsia" w:ascii="方正小标宋_GBK" w:hAnsi="方正小标宋_GBK" w:eastAsia="方正小标宋_GBK" w:cs="方正小标宋_GBK"/>
          <w:sz w:val="56"/>
          <w:szCs w:val="56"/>
        </w:rPr>
      </w:pPr>
    </w:p>
    <w:p w14:paraId="41703B70">
      <w:pPr>
        <w:pStyle w:val="16"/>
        <w:jc w:val="center"/>
        <w:rPr>
          <w:sz w:val="56"/>
          <w:szCs w:val="56"/>
        </w:rPr>
      </w:pPr>
    </w:p>
    <w:p w14:paraId="10D0E324">
      <w:pPr>
        <w:pStyle w:val="16"/>
        <w:jc w:val="center"/>
        <w:rPr>
          <w:sz w:val="56"/>
          <w:szCs w:val="56"/>
        </w:rPr>
      </w:pPr>
    </w:p>
    <w:p w14:paraId="5126191E">
      <w:pPr>
        <w:pStyle w:val="16"/>
        <w:jc w:val="center"/>
        <w:rPr>
          <w:sz w:val="56"/>
          <w:szCs w:val="56"/>
        </w:rPr>
      </w:pPr>
    </w:p>
    <w:p w14:paraId="42EA36D3">
      <w:pPr>
        <w:pStyle w:val="16"/>
        <w:jc w:val="center"/>
        <w:rPr>
          <w:sz w:val="32"/>
          <w:szCs w:val="32"/>
        </w:rPr>
      </w:pPr>
    </w:p>
    <w:p w14:paraId="3AAD29E8">
      <w:pPr>
        <w:pStyle w:val="16"/>
        <w:jc w:val="center"/>
        <w:rPr>
          <w:sz w:val="32"/>
          <w:szCs w:val="32"/>
        </w:rPr>
      </w:pPr>
    </w:p>
    <w:p w14:paraId="7DAEDBB1">
      <w:pPr>
        <w:pStyle w:val="16"/>
        <w:jc w:val="center"/>
        <w:rPr>
          <w:sz w:val="32"/>
          <w:szCs w:val="32"/>
        </w:rPr>
      </w:pPr>
    </w:p>
    <w:p w14:paraId="2E954BB2">
      <w:pPr>
        <w:pStyle w:val="16"/>
        <w:jc w:val="center"/>
        <w:rPr>
          <w:sz w:val="32"/>
          <w:szCs w:val="32"/>
        </w:rPr>
      </w:pPr>
    </w:p>
    <w:p w14:paraId="30ED847F">
      <w:pPr>
        <w:pStyle w:val="16"/>
        <w:jc w:val="center"/>
        <w:rPr>
          <w:sz w:val="32"/>
          <w:szCs w:val="32"/>
        </w:rPr>
      </w:pPr>
    </w:p>
    <w:p w14:paraId="40064495">
      <w:pPr>
        <w:pStyle w:val="16"/>
        <w:spacing w:line="540" w:lineRule="exact"/>
        <w:jc w:val="center"/>
        <w:rPr>
          <w:sz w:val="56"/>
          <w:szCs w:val="56"/>
        </w:rPr>
      </w:pPr>
    </w:p>
    <w:p w14:paraId="08A5F96F">
      <w:pPr>
        <w:pStyle w:val="16"/>
        <w:spacing w:line="500" w:lineRule="exact"/>
        <w:jc w:val="both"/>
        <w:rPr>
          <w:b/>
          <w:sz w:val="36"/>
          <w:szCs w:val="28"/>
        </w:rPr>
      </w:pPr>
    </w:p>
    <w:p w14:paraId="46A8B6CD">
      <w:pPr>
        <w:pStyle w:val="16"/>
        <w:spacing w:line="500" w:lineRule="exact"/>
        <w:jc w:val="center"/>
        <w:rPr>
          <w:b/>
          <w:sz w:val="36"/>
          <w:szCs w:val="28"/>
        </w:rPr>
      </w:pPr>
      <w:r>
        <w:rPr>
          <w:rFonts w:hint="eastAsia"/>
          <w:b/>
          <w:sz w:val="36"/>
          <w:szCs w:val="28"/>
        </w:rPr>
        <w:t>目录</w:t>
      </w:r>
    </w:p>
    <w:p w14:paraId="1617F17F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 w:line="480" w:lineRule="exact"/>
        <w:ind w:left="0" w:right="0" w:firstLine="0"/>
        <w:jc w:val="both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第一部分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</w:rPr>
        <w:t>岳阳市固体废物处置服务中心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单位概况</w:t>
      </w:r>
    </w:p>
    <w:p w14:paraId="0441073A">
      <w:pPr>
        <w:pStyle w:val="16"/>
        <w:spacing w:line="500" w:lineRule="exact"/>
        <w:ind w:firstLine="700" w:firstLineChars="250"/>
        <w:rPr>
          <w:rFonts w:hint="eastAsia" w:ascii="CESI仿宋-GB2312" w:hAnsi="CESI仿宋-GB2312" w:eastAsia="CESI仿宋-GB2312" w:cs="CESI仿宋-GB2312"/>
          <w:sz w:val="28"/>
          <w:szCs w:val="28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</w:rPr>
        <w:t>一、部门职责</w:t>
      </w:r>
    </w:p>
    <w:p w14:paraId="54AD5469">
      <w:pPr>
        <w:pStyle w:val="16"/>
        <w:spacing w:line="500" w:lineRule="exact"/>
        <w:ind w:firstLine="700" w:firstLineChars="250"/>
        <w:rPr>
          <w:rFonts w:hint="eastAsia" w:ascii="CESI仿宋-GB2312" w:hAnsi="CESI仿宋-GB2312" w:eastAsia="CESI仿宋-GB2312" w:cs="CESI仿宋-GB2312"/>
          <w:sz w:val="28"/>
          <w:szCs w:val="28"/>
          <w:lang w:eastAsia="zh-CN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</w:rPr>
        <w:t>二、机构设置</w:t>
      </w:r>
      <w:r>
        <w:rPr>
          <w:rFonts w:hint="eastAsia" w:ascii="CESI仿宋-GB2312" w:hAnsi="CESI仿宋-GB2312" w:eastAsia="CESI仿宋-GB2312" w:cs="CESI仿宋-GB2312"/>
          <w:sz w:val="28"/>
          <w:szCs w:val="28"/>
          <w:lang w:eastAsia="zh-CN"/>
        </w:rPr>
        <w:t>及决算单位构成</w:t>
      </w:r>
    </w:p>
    <w:p w14:paraId="3D3DC0AB">
      <w:pPr>
        <w:pStyle w:val="16"/>
        <w:spacing w:line="500" w:lineRule="exact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第二部分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部门决算表</w:t>
      </w:r>
    </w:p>
    <w:p w14:paraId="237323AA">
      <w:pPr>
        <w:pStyle w:val="16"/>
        <w:spacing w:line="500" w:lineRule="exact"/>
        <w:ind w:firstLine="700" w:firstLineChars="250"/>
        <w:rPr>
          <w:rFonts w:hint="eastAsia" w:ascii="CESI仿宋-GB2312" w:hAnsi="CESI仿宋-GB2312" w:eastAsia="CESI仿宋-GB2312" w:cs="CESI仿宋-GB2312"/>
          <w:sz w:val="28"/>
          <w:szCs w:val="28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</w:rPr>
        <w:t>一、收入支出决算总表</w:t>
      </w:r>
    </w:p>
    <w:p w14:paraId="656D9F4D">
      <w:pPr>
        <w:pStyle w:val="16"/>
        <w:spacing w:line="500" w:lineRule="exact"/>
        <w:ind w:firstLine="700" w:firstLineChars="250"/>
        <w:rPr>
          <w:rFonts w:hint="eastAsia" w:ascii="CESI仿宋-GB2312" w:hAnsi="CESI仿宋-GB2312" w:eastAsia="CESI仿宋-GB2312" w:cs="CESI仿宋-GB2312"/>
          <w:sz w:val="28"/>
          <w:szCs w:val="28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</w:rPr>
        <w:t>二、收入决算表</w:t>
      </w:r>
    </w:p>
    <w:p w14:paraId="5DA330F4">
      <w:pPr>
        <w:pStyle w:val="16"/>
        <w:spacing w:line="500" w:lineRule="exact"/>
        <w:ind w:firstLine="700" w:firstLineChars="250"/>
        <w:rPr>
          <w:rFonts w:hint="eastAsia" w:ascii="CESI仿宋-GB2312" w:hAnsi="CESI仿宋-GB2312" w:eastAsia="CESI仿宋-GB2312" w:cs="CESI仿宋-GB2312"/>
          <w:sz w:val="28"/>
          <w:szCs w:val="28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</w:rPr>
        <w:t>三、支出决算表</w:t>
      </w:r>
    </w:p>
    <w:p w14:paraId="50073940">
      <w:pPr>
        <w:pStyle w:val="16"/>
        <w:spacing w:line="500" w:lineRule="exact"/>
        <w:ind w:firstLine="700" w:firstLineChars="250"/>
        <w:rPr>
          <w:rFonts w:hint="eastAsia" w:ascii="CESI仿宋-GB2312" w:hAnsi="CESI仿宋-GB2312" w:eastAsia="CESI仿宋-GB2312" w:cs="CESI仿宋-GB2312"/>
          <w:sz w:val="28"/>
          <w:szCs w:val="28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</w:rPr>
        <w:t>四、财政拨款收入支出决算总表</w:t>
      </w:r>
    </w:p>
    <w:p w14:paraId="25195F06">
      <w:pPr>
        <w:pStyle w:val="16"/>
        <w:spacing w:line="500" w:lineRule="exact"/>
        <w:ind w:firstLine="700" w:firstLineChars="250"/>
        <w:rPr>
          <w:rFonts w:hint="eastAsia" w:ascii="CESI仿宋-GB2312" w:hAnsi="CESI仿宋-GB2312" w:eastAsia="CESI仿宋-GB2312" w:cs="CESI仿宋-GB2312"/>
          <w:sz w:val="28"/>
          <w:szCs w:val="28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</w:rPr>
        <w:t>五、一般公共预算财政拨款支出决算表</w:t>
      </w:r>
    </w:p>
    <w:p w14:paraId="24CF11B0">
      <w:pPr>
        <w:pStyle w:val="16"/>
        <w:spacing w:line="500" w:lineRule="exact"/>
        <w:ind w:firstLine="700" w:firstLineChars="250"/>
        <w:rPr>
          <w:rFonts w:hint="eastAsia" w:ascii="CESI仿宋-GB2312" w:hAnsi="CESI仿宋-GB2312" w:eastAsia="CESI仿宋-GB2312" w:cs="CESI仿宋-GB2312"/>
          <w:sz w:val="28"/>
          <w:szCs w:val="28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</w:rPr>
        <w:t>六、一般公共预算财政拨款基本支出决算明细表</w:t>
      </w:r>
    </w:p>
    <w:p w14:paraId="537090C8">
      <w:pPr>
        <w:pStyle w:val="16"/>
        <w:spacing w:line="500" w:lineRule="exact"/>
        <w:ind w:firstLine="700" w:firstLineChars="250"/>
        <w:rPr>
          <w:rFonts w:hint="eastAsia" w:ascii="CESI仿宋-GB2312" w:hAnsi="CESI仿宋-GB2312" w:eastAsia="CESI仿宋-GB2312" w:cs="CESI仿宋-GB2312"/>
          <w:sz w:val="28"/>
          <w:szCs w:val="28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</w:rPr>
        <w:t>七、政府性基金预算财政拨款收入支出决算表</w:t>
      </w:r>
    </w:p>
    <w:p w14:paraId="6623D47E">
      <w:pPr>
        <w:pStyle w:val="16"/>
        <w:spacing w:line="500" w:lineRule="exact"/>
        <w:ind w:firstLine="700" w:firstLineChars="250"/>
        <w:rPr>
          <w:rFonts w:hint="eastAsia" w:ascii="CESI仿宋-GB2312" w:hAnsi="CESI仿宋-GB2312" w:eastAsia="CESI仿宋-GB2312" w:cs="CESI仿宋-GB2312"/>
          <w:sz w:val="28"/>
          <w:szCs w:val="28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</w:rPr>
        <w:t>八、国有资本经营预算财政拨款支出决算表</w:t>
      </w:r>
    </w:p>
    <w:p w14:paraId="3A465FB5">
      <w:pPr>
        <w:pStyle w:val="16"/>
        <w:spacing w:line="500" w:lineRule="exact"/>
        <w:ind w:firstLine="700" w:firstLineChars="250"/>
        <w:rPr>
          <w:rFonts w:hint="eastAsia" w:ascii="CESI仿宋-GB2312" w:hAnsi="CESI仿宋-GB2312" w:eastAsia="CESI仿宋-GB2312" w:cs="CESI仿宋-GB2312"/>
          <w:sz w:val="28"/>
          <w:szCs w:val="28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</w:rPr>
        <w:t>九、财政拨款“三公”经费支出决算表</w:t>
      </w:r>
    </w:p>
    <w:p w14:paraId="1E0710C8">
      <w:pPr>
        <w:pStyle w:val="16"/>
        <w:spacing w:line="500" w:lineRule="exact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第三部分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部门决算情况说明</w:t>
      </w:r>
    </w:p>
    <w:p w14:paraId="3A67054A">
      <w:pPr>
        <w:pStyle w:val="16"/>
        <w:spacing w:line="500" w:lineRule="exact"/>
        <w:ind w:firstLine="700" w:firstLineChars="250"/>
        <w:rPr>
          <w:rFonts w:hint="eastAsia" w:ascii="CESI仿宋-GB2312" w:hAnsi="CESI仿宋-GB2312" w:eastAsia="CESI仿宋-GB2312" w:cs="CESI仿宋-GB2312"/>
          <w:sz w:val="28"/>
          <w:szCs w:val="28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</w:rPr>
        <w:t>一、收入支出决算总体情况说明</w:t>
      </w:r>
    </w:p>
    <w:p w14:paraId="5227DA73">
      <w:pPr>
        <w:spacing w:line="500" w:lineRule="exact"/>
        <w:ind w:firstLine="700" w:firstLineChars="250"/>
        <w:jc w:val="left"/>
        <w:rPr>
          <w:rFonts w:hint="eastAsia" w:ascii="CESI仿宋-GB2312" w:hAnsi="CESI仿宋-GB2312" w:eastAsia="CESI仿宋-GB2312" w:cs="CESI仿宋-GB2312"/>
          <w:sz w:val="28"/>
          <w:szCs w:val="28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</w:rPr>
        <w:t>二、收入决算情况说明</w:t>
      </w:r>
    </w:p>
    <w:p w14:paraId="0EDE4F2E">
      <w:pPr>
        <w:autoSpaceDE w:val="0"/>
        <w:autoSpaceDN w:val="0"/>
        <w:adjustRightInd w:val="0"/>
        <w:spacing w:line="500" w:lineRule="exact"/>
        <w:ind w:firstLine="700" w:firstLineChars="250"/>
        <w:jc w:val="left"/>
        <w:rPr>
          <w:rFonts w:hint="eastAsia" w:ascii="CESI仿宋-GB2312" w:hAnsi="CESI仿宋-GB2312" w:eastAsia="CESI仿宋-GB2312" w:cs="CESI仿宋-GB2312"/>
          <w:color w:val="000000"/>
          <w:kern w:val="0"/>
          <w:sz w:val="28"/>
          <w:szCs w:val="28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28"/>
          <w:szCs w:val="28"/>
        </w:rPr>
        <w:t>三、支出决算情况说明</w:t>
      </w:r>
    </w:p>
    <w:p w14:paraId="2A26D7F7">
      <w:pPr>
        <w:autoSpaceDE w:val="0"/>
        <w:autoSpaceDN w:val="0"/>
        <w:adjustRightInd w:val="0"/>
        <w:spacing w:line="500" w:lineRule="exact"/>
        <w:ind w:firstLine="700" w:firstLineChars="250"/>
        <w:jc w:val="left"/>
        <w:rPr>
          <w:rFonts w:hint="eastAsia" w:ascii="CESI仿宋-GB2312" w:hAnsi="CESI仿宋-GB2312" w:eastAsia="CESI仿宋-GB2312" w:cs="CESI仿宋-GB2312"/>
          <w:color w:val="000000"/>
          <w:kern w:val="0"/>
          <w:sz w:val="28"/>
          <w:szCs w:val="28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28"/>
          <w:szCs w:val="28"/>
        </w:rPr>
        <w:t>四、财政拨款收入支出决算总体情况说明</w:t>
      </w:r>
    </w:p>
    <w:p w14:paraId="0958E646">
      <w:pPr>
        <w:autoSpaceDE w:val="0"/>
        <w:autoSpaceDN w:val="0"/>
        <w:adjustRightInd w:val="0"/>
        <w:spacing w:line="500" w:lineRule="exact"/>
        <w:ind w:firstLine="700" w:firstLineChars="250"/>
        <w:jc w:val="left"/>
        <w:rPr>
          <w:rFonts w:hint="eastAsia" w:ascii="CESI仿宋-GB2312" w:hAnsi="CESI仿宋-GB2312" w:eastAsia="CESI仿宋-GB2312" w:cs="CESI仿宋-GB2312"/>
          <w:color w:val="000000"/>
          <w:kern w:val="0"/>
          <w:sz w:val="28"/>
          <w:szCs w:val="28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28"/>
          <w:szCs w:val="28"/>
        </w:rPr>
        <w:t>五、一般公共预算财政拨款支出决算情况说明</w:t>
      </w:r>
    </w:p>
    <w:p w14:paraId="136ED067">
      <w:pPr>
        <w:autoSpaceDE w:val="0"/>
        <w:autoSpaceDN w:val="0"/>
        <w:adjustRightInd w:val="0"/>
        <w:spacing w:line="500" w:lineRule="exact"/>
        <w:ind w:firstLine="700" w:firstLineChars="250"/>
        <w:jc w:val="left"/>
        <w:rPr>
          <w:rFonts w:hint="eastAsia" w:ascii="CESI仿宋-GB2312" w:hAnsi="CESI仿宋-GB2312" w:eastAsia="CESI仿宋-GB2312" w:cs="CESI仿宋-GB2312"/>
          <w:color w:val="000000"/>
          <w:kern w:val="0"/>
          <w:sz w:val="28"/>
          <w:szCs w:val="28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28"/>
          <w:szCs w:val="28"/>
        </w:rPr>
        <w:t>六、一般公共预算财政拨款基本支出决算情况说明</w:t>
      </w:r>
    </w:p>
    <w:p w14:paraId="61285F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CESI仿宋-GB2312" w:hAnsi="CESI仿宋-GB2312" w:eastAsia="CESI仿宋-GB2312" w:cs="CESI仿宋-GB2312"/>
          <w:color w:val="000000"/>
          <w:kern w:val="0"/>
          <w:sz w:val="28"/>
          <w:szCs w:val="28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28"/>
          <w:szCs w:val="28"/>
        </w:rPr>
        <w:t>七、政府性基金预算收入支出决算情况</w:t>
      </w:r>
    </w:p>
    <w:p w14:paraId="3DE375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CESI仿宋-GB2312" w:hAnsi="CESI仿宋-GB2312" w:eastAsia="CESI仿宋-GB2312" w:cs="CESI仿宋-GB2312"/>
          <w:color w:val="000000"/>
          <w:kern w:val="0"/>
          <w:sz w:val="28"/>
          <w:szCs w:val="28"/>
          <w:highlight w:val="yellow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28"/>
          <w:szCs w:val="28"/>
          <w:highlight w:val="none"/>
        </w:rPr>
        <w:t>八、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  <w:t>国有资本经营预算财政拨款支出决算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lang w:eastAsia="zh-CN"/>
        </w:rPr>
        <w:t>情况</w:t>
      </w:r>
    </w:p>
    <w:p w14:paraId="1A20C6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CESI仿宋-GB2312" w:hAnsi="CESI仿宋-GB2312" w:eastAsia="CESI仿宋-GB2312" w:cs="CESI仿宋-GB2312"/>
          <w:color w:val="000000"/>
          <w:kern w:val="0"/>
          <w:sz w:val="28"/>
          <w:szCs w:val="28"/>
          <w:lang w:eastAsia="zh-CN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28"/>
          <w:szCs w:val="28"/>
        </w:rPr>
        <w:t>九、财政拨款三公经费支出决算情况说明</w:t>
      </w:r>
    </w:p>
    <w:p w14:paraId="16E1D1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CESI仿宋-GB2312" w:hAnsi="CESI仿宋-GB2312" w:eastAsia="CESI仿宋-GB2312" w:cs="CESI仿宋-GB2312"/>
          <w:color w:val="000000"/>
          <w:kern w:val="0"/>
          <w:sz w:val="28"/>
          <w:szCs w:val="28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28"/>
          <w:szCs w:val="28"/>
        </w:rPr>
        <w:t>十、关于机关运行经费支出说明</w:t>
      </w:r>
    </w:p>
    <w:p w14:paraId="467334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CESI仿宋-GB2312" w:hAnsi="CESI仿宋-GB2312" w:eastAsia="CESI仿宋-GB2312" w:cs="CESI仿宋-GB2312"/>
          <w:color w:val="000000"/>
          <w:kern w:val="0"/>
          <w:sz w:val="28"/>
          <w:szCs w:val="28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28"/>
          <w:szCs w:val="28"/>
        </w:rPr>
        <w:t>十一、一般性支出情况说明</w:t>
      </w:r>
    </w:p>
    <w:p w14:paraId="5B37DC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CESI仿宋-GB2312" w:hAnsi="CESI仿宋-GB2312" w:eastAsia="CESI仿宋-GB2312" w:cs="CESI仿宋-GB2312"/>
          <w:color w:val="000000"/>
          <w:kern w:val="0"/>
          <w:sz w:val="28"/>
          <w:szCs w:val="28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</w:rPr>
        <w:t>十二、</w:t>
      </w:r>
      <w:r>
        <w:rPr>
          <w:rFonts w:hint="eastAsia" w:ascii="CESI仿宋-GB2312" w:hAnsi="CESI仿宋-GB2312" w:eastAsia="CESI仿宋-GB2312" w:cs="CESI仿宋-GB2312"/>
          <w:color w:val="000000"/>
          <w:kern w:val="0"/>
          <w:sz w:val="28"/>
          <w:szCs w:val="28"/>
        </w:rPr>
        <w:t>关于政府采购支出说明</w:t>
      </w:r>
    </w:p>
    <w:p w14:paraId="4638DE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textAlignment w:val="auto"/>
        <w:rPr>
          <w:rFonts w:hint="eastAsia" w:ascii="CESI仿宋-GB2312" w:hAnsi="CESI仿宋-GB2312" w:eastAsia="CESI仿宋-GB2312" w:cs="CESI仿宋-GB2312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28"/>
          <w:szCs w:val="28"/>
          <w:lang w:val="en-US" w:eastAsia="zh-CN" w:bidi="ar-SA"/>
        </w:rPr>
        <w:t>十三、关于国有资产占用情况说明</w:t>
      </w:r>
    </w:p>
    <w:p w14:paraId="6E8D1C44">
      <w:pPr>
        <w:pStyle w:val="16"/>
        <w:spacing w:line="500" w:lineRule="exact"/>
        <w:ind w:firstLine="700" w:firstLineChars="250"/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28"/>
          <w:szCs w:val="28"/>
          <w:highlight w:val="none"/>
          <w:lang w:val="en-US" w:eastAsia="zh-CN" w:bidi="ar-SA"/>
        </w:rPr>
        <w:t>十四、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  <w:t>关于202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  <w:t>年度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lang w:eastAsia="zh-CN"/>
        </w:rPr>
        <w:t>预算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  <w:t>绩效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lang w:eastAsia="zh-CN"/>
        </w:rPr>
        <w:t>管理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  <w:t>情况的说明</w:t>
      </w:r>
    </w:p>
    <w:p w14:paraId="281CB82B">
      <w:pPr>
        <w:pStyle w:val="16"/>
        <w:spacing w:line="500" w:lineRule="exact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第四部分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名词解释</w:t>
      </w:r>
    </w:p>
    <w:p w14:paraId="53214596">
      <w:pPr>
        <w:pStyle w:val="16"/>
        <w:spacing w:line="500" w:lineRule="exact"/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第</w:t>
      </w:r>
      <w:r>
        <w:rPr>
          <w:rFonts w:hint="eastAsia" w:hAnsi="黑体" w:cs="黑体"/>
          <w:b w:val="0"/>
          <w:bCs/>
          <w:sz w:val="28"/>
          <w:szCs w:val="28"/>
          <w:lang w:eastAsia="zh-CN"/>
        </w:rPr>
        <w:t>五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部分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hAnsi="黑体" w:cs="黑体"/>
          <w:b w:val="0"/>
          <w:bCs/>
          <w:sz w:val="28"/>
          <w:szCs w:val="28"/>
          <w:lang w:eastAsia="zh-CN"/>
        </w:rPr>
        <w:t>附件</w:t>
      </w:r>
    </w:p>
    <w:p w14:paraId="33214026">
      <w:pPr>
        <w:pStyle w:val="16"/>
        <w:jc w:val="both"/>
        <w:rPr>
          <w:rFonts w:hint="eastAsia" w:ascii="方正小标宋_GBK" w:hAnsi="方正小标宋_GBK" w:eastAsia="方正小标宋_GBK" w:cs="方正小标宋_GBK"/>
          <w:sz w:val="32"/>
          <w:szCs w:val="32"/>
        </w:rPr>
      </w:pPr>
    </w:p>
    <w:p w14:paraId="79318DD0">
      <w:pPr>
        <w:pStyle w:val="16"/>
        <w:ind w:firstLine="3960" w:firstLineChars="900"/>
        <w:jc w:val="both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 xml:space="preserve">第一部分 </w:t>
      </w:r>
    </w:p>
    <w:p w14:paraId="6B85F782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岳阳市固体废物处置服务中心单位概况</w:t>
      </w:r>
    </w:p>
    <w:p w14:paraId="37F19C07">
      <w:pPr>
        <w:pStyle w:val="10"/>
        <w:rPr>
          <w:rFonts w:hint="eastAsia"/>
          <w:sz w:val="44"/>
          <w:szCs w:val="44"/>
        </w:rPr>
      </w:pPr>
    </w:p>
    <w:p w14:paraId="6CEF8482">
      <w:pPr>
        <w:pStyle w:val="17"/>
        <w:numPr>
          <w:ilvl w:val="0"/>
          <w:numId w:val="0"/>
        </w:numPr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部门职责</w:t>
      </w:r>
    </w:p>
    <w:p w14:paraId="17F17824">
      <w:pPr>
        <w:numPr>
          <w:ilvl w:val="0"/>
          <w:numId w:val="0"/>
        </w:numPr>
        <w:ind w:firstLine="640" w:firstLineChars="200"/>
        <w:jc w:val="left"/>
        <w:rPr>
          <w:rFonts w:hint="eastAsia" w:ascii="CESI仿宋-GB2312" w:hAnsi="CESI仿宋-GB2312" w:eastAsia="CESI仿宋-GB2312" w:cs="CESI仿宋-GB2312"/>
          <w:sz w:val="32"/>
          <w:szCs w:val="24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24"/>
          <w:lang w:eastAsia="zh-CN"/>
        </w:rPr>
        <w:t>（一）负责岳阳市静脉产业园区（以下简称园区）的发展规划、控详规划和规划环评的编制和实施的行政辅助工作；</w:t>
      </w:r>
    </w:p>
    <w:p w14:paraId="481D4385">
      <w:pPr>
        <w:numPr>
          <w:ilvl w:val="0"/>
          <w:numId w:val="0"/>
        </w:numPr>
        <w:ind w:firstLine="640" w:firstLineChars="200"/>
        <w:jc w:val="lef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24"/>
          <w:lang w:eastAsia="zh-CN"/>
        </w:rPr>
        <w:t>（二）负责园区内企业日常运营监管的事务性工作，协助园区内企业做好各类扶持政策的申报工作；</w:t>
      </w:r>
    </w:p>
    <w:p w14:paraId="5BF6FD9A">
      <w:pPr>
        <w:numPr>
          <w:ilvl w:val="0"/>
          <w:numId w:val="0"/>
        </w:numPr>
        <w:ind w:firstLine="640" w:firstLineChars="200"/>
        <w:jc w:val="lef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24"/>
          <w:lang w:eastAsia="zh-CN"/>
        </w:rPr>
        <w:t>（三）负责园区内政府投资的基础设施建设和维护工作；</w:t>
      </w:r>
    </w:p>
    <w:p w14:paraId="511F8AFF">
      <w:pPr>
        <w:numPr>
          <w:ilvl w:val="0"/>
          <w:numId w:val="0"/>
        </w:numPr>
        <w:ind w:firstLine="640" w:firstLineChars="200"/>
        <w:jc w:val="lef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24"/>
          <w:lang w:eastAsia="zh-CN"/>
        </w:rPr>
        <w:t>（四）负责市中心城区餐厨垃圾收集、运输处置统筹协调、监督、考核等事务性工作；</w:t>
      </w:r>
    </w:p>
    <w:p w14:paraId="5712C343">
      <w:pPr>
        <w:numPr>
          <w:ilvl w:val="0"/>
          <w:numId w:val="0"/>
        </w:numPr>
        <w:ind w:firstLine="640" w:firstLineChars="200"/>
        <w:jc w:val="lef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24"/>
          <w:lang w:eastAsia="zh-CN"/>
        </w:rPr>
        <w:t>（五）负责罗家坳生活垃圾填埋场的日常管理；</w:t>
      </w:r>
    </w:p>
    <w:p w14:paraId="54C3C282">
      <w:pPr>
        <w:ind w:firstLine="640" w:firstLineChars="200"/>
        <w:jc w:val="left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24"/>
          <w:lang w:eastAsia="zh-CN"/>
        </w:rPr>
        <w:t>（六）完成市城市管理和综合执法局交办的其他事项。</w:t>
      </w:r>
    </w:p>
    <w:p w14:paraId="1265F22A">
      <w:pPr>
        <w:widowControl/>
        <w:spacing w:line="600" w:lineRule="exact"/>
        <w:ind w:firstLine="640" w:firstLineChars="200"/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二、机构设置及决算单位构成</w:t>
      </w:r>
    </w:p>
    <w:p w14:paraId="7B88E355">
      <w:pPr>
        <w:widowControl/>
        <w:spacing w:line="600" w:lineRule="exact"/>
        <w:ind w:firstLine="640" w:firstLineChars="200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  <w:bCs/>
          <w:kern w:val="0"/>
          <w:sz w:val="32"/>
          <w:szCs w:val="32"/>
        </w:rPr>
        <w:t>（一）内设机构设置。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岳阳市固体废物处置服务中心</w:t>
      </w:r>
      <w:r>
        <w:rPr>
          <w:rFonts w:hint="eastAsia" w:ascii="CESI仿宋-GB2312" w:hAnsi="CESI仿宋-GB2312" w:eastAsia="CESI仿宋-GB2312" w:cs="CESI仿宋-GB2312"/>
          <w:bCs/>
          <w:kern w:val="0"/>
          <w:sz w:val="32"/>
          <w:szCs w:val="32"/>
        </w:rPr>
        <w:t>内设机构包括：</w:t>
      </w:r>
      <w:r>
        <w:rPr>
          <w:rFonts w:hint="eastAsia" w:ascii="CESI仿宋-GB2312" w:hAnsi="CESI仿宋-GB2312" w:eastAsia="CESI仿宋-GB2312" w:cs="CESI仿宋-GB2312"/>
          <w:sz w:val="32"/>
          <w:szCs w:val="24"/>
          <w:lang w:val="en-US" w:eastAsia="zh-CN"/>
        </w:rPr>
        <w:t>综合部、园区服务部、固体废物服务部三个职能部室。</w:t>
      </w:r>
    </w:p>
    <w:p w14:paraId="08EBA5EE">
      <w:pPr>
        <w:ind w:firstLine="640" w:firstLineChars="200"/>
        <w:jc w:val="left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kern w:val="0"/>
          <w:sz w:val="32"/>
          <w:szCs w:val="32"/>
        </w:rPr>
        <w:t>（二）决算单位构成。</w:t>
      </w:r>
      <w:r>
        <w:rPr>
          <w:rFonts w:hint="eastAsia" w:ascii="CESI仿宋-GB2312" w:hAnsi="CESI仿宋-GB2312" w:eastAsia="CESI仿宋-GB2312" w:cs="CESI仿宋-GB2312"/>
          <w:i w:val="0"/>
          <w:iCs w:val="0"/>
          <w:color w:val="auto"/>
          <w:sz w:val="32"/>
          <w:szCs w:val="32"/>
          <w:highlight w:val="white"/>
          <w:lang w:eastAsia="zh-CN"/>
        </w:rPr>
        <w:t>本单位无独立核算的下属单位，</w:t>
      </w:r>
      <w:r>
        <w:rPr>
          <w:rFonts w:hint="eastAsia" w:ascii="CESI仿宋-GB2312" w:hAnsi="CESI仿宋-GB2312" w:eastAsia="CESI仿宋-GB2312" w:cs="CESI仿宋-GB2312"/>
          <w:i w:val="0"/>
          <w:iCs w:val="0"/>
          <w:color w:val="auto"/>
          <w:sz w:val="32"/>
          <w:szCs w:val="32"/>
          <w:highlight w:val="white"/>
          <w:lang w:val="en-US" w:eastAsia="zh-CN"/>
        </w:rPr>
        <w:t>2024年度部门决算汇总公开单位仅包括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</w:rPr>
        <w:t>岳阳市固体废物处置服务中心</w:t>
      </w:r>
      <w:r>
        <w:rPr>
          <w:rFonts w:hint="eastAsia" w:ascii="CESI仿宋-GB2312" w:hAnsi="CESI仿宋-GB2312" w:eastAsia="CESI仿宋-GB2312" w:cs="CESI仿宋-GB2312"/>
          <w:i w:val="0"/>
          <w:iCs w:val="0"/>
          <w:color w:val="auto"/>
          <w:sz w:val="32"/>
          <w:szCs w:val="32"/>
          <w:highlight w:val="white"/>
          <w:lang w:val="en-US" w:eastAsia="zh-CN"/>
        </w:rPr>
        <w:t>本级</w:t>
      </w:r>
      <w:r>
        <w:rPr>
          <w:rFonts w:hint="eastAsia" w:ascii="CESI仿宋-GB2312" w:hAnsi="CESI仿宋-GB2312" w:eastAsia="CESI仿宋-GB2312" w:cs="CESI仿宋-GB2312"/>
          <w:i/>
          <w:iCs/>
          <w:color w:val="auto"/>
          <w:sz w:val="32"/>
          <w:szCs w:val="32"/>
          <w:highlight w:val="white"/>
        </w:rPr>
        <w:t>。</w:t>
      </w:r>
    </w:p>
    <w:p w14:paraId="3A242217"/>
    <w:p w14:paraId="40E48E23">
      <w:pPr>
        <w:pStyle w:val="10"/>
      </w:pPr>
    </w:p>
    <w:p w14:paraId="47124159">
      <w:pPr>
        <w:pStyle w:val="6"/>
      </w:pPr>
    </w:p>
    <w:p w14:paraId="5B81AA15">
      <w:pPr>
        <w:pStyle w:val="16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第二部分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部门决算表</w:t>
      </w:r>
    </w:p>
    <w:p w14:paraId="14B7100E">
      <w:pPr>
        <w:pStyle w:val="16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（见附件）</w:t>
      </w:r>
    </w:p>
    <w:p w14:paraId="47A9EE96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</w:p>
    <w:p w14:paraId="532BD26F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</w:p>
    <w:p w14:paraId="47B45713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第三部分</w:t>
      </w:r>
    </w:p>
    <w:p w14:paraId="0194842F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</w:p>
    <w:p w14:paraId="11CFA15C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70"/>
          <w:szCs w:val="70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年度部门决算情况说明</w:t>
      </w:r>
    </w:p>
    <w:p w14:paraId="3DBA0A57">
      <w:pPr>
        <w:pStyle w:val="16"/>
        <w:jc w:val="both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62D4B7C9"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（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说明：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1、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由于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部门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决算编制时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数据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明细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至“金额单位：元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”，而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本套部门决算文字说明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和公开表格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数据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取数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转换为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“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金额单位：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万元”，可能导致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以下文字说明中的各项数据取数以及公开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表格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中的各项数据取数之间存在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0.01的尾数差异。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2、以下文字说明中，部分科目由于预算数为0，无法计算完成年初预算的百分比，故未描述“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完成年初预算的XX%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”。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）</w:t>
      </w:r>
    </w:p>
    <w:p w14:paraId="0C1DAD10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一、收入支出决算总体情况说明</w:t>
      </w:r>
    </w:p>
    <w:p w14:paraId="28ECBC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23"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24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202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4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年度收、支总计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641.96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万元。与上年相比，增加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191.98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万元，增长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42.66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%，主要是因为</w:t>
      </w:r>
      <w:r>
        <w:rPr>
          <w:rFonts w:hint="eastAsia" w:ascii="CESI仿宋-GB2312" w:hAnsi="CESI仿宋-GB2312" w:eastAsia="CESI仿宋-GB2312" w:cs="CESI仿宋-GB2312"/>
          <w:sz w:val="32"/>
          <w:szCs w:val="24"/>
          <w:lang w:val="en-US" w:eastAsia="zh-CN"/>
        </w:rPr>
        <w:t>本单位为机构改革从岳阳市城管事务中心分立新增单位，2023年6月开始独立核算，当年部分费用在原单位列支。</w:t>
      </w:r>
    </w:p>
    <w:p w14:paraId="6FE5119F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二、收入决算情况说明</w:t>
      </w:r>
    </w:p>
    <w:p w14:paraId="0D9D416B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202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4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年度收入合计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641.86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万元，其中：财政拨款收入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641.86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万元，占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100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%；上级补助收入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0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万元，占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0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%；事业收入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0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万元，占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0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%；经营收入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0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万元，占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0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%；附属单位上缴收入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0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万元，占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0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%；其他收入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0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万元，占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0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%。</w:t>
      </w:r>
    </w:p>
    <w:p w14:paraId="3B06AC4B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三、支出决算情况说明</w:t>
      </w:r>
    </w:p>
    <w:p w14:paraId="1DF715EF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202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4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年度支出合计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641.96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万元，其中：基本支出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259.96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万元，占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40.49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%；项目支出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382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万元，占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59.51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%；上缴上级支出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0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万元，占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0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%；经营支出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0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万元，占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0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%；对附属单位补助支出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0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万元，占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0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%。</w:t>
      </w:r>
    </w:p>
    <w:p w14:paraId="23A77367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四、财政拨款收入支出决算总体情况说明</w:t>
      </w:r>
    </w:p>
    <w:p w14:paraId="0E4BE935">
      <w:pPr>
        <w:widowControl w:val="0"/>
        <w:autoSpaceDE w:val="0"/>
        <w:autoSpaceDN w:val="0"/>
        <w:adjustRightInd w:val="0"/>
        <w:ind w:firstLine="640" w:firstLineChars="200"/>
        <w:rPr>
          <w:rFonts w:hint="eastAsia" w:ascii="CESI仿宋-GB2312" w:hAnsi="CESI仿宋-GB2312" w:eastAsia="CESI仿宋-GB2312" w:cs="CESI仿宋-GB2312"/>
          <w:i/>
          <w:i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202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4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年度财政拨款收、支总计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641.86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万元，与上年相比，增加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209.88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万元,增长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48.59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%，主要是因为</w:t>
      </w:r>
      <w:r>
        <w:rPr>
          <w:rFonts w:hint="eastAsia" w:ascii="CESI仿宋-GB2312" w:hAnsi="CESI仿宋-GB2312" w:eastAsia="CESI仿宋-GB2312" w:cs="CESI仿宋-GB2312"/>
          <w:sz w:val="32"/>
          <w:szCs w:val="24"/>
          <w:lang w:val="en-US" w:eastAsia="zh-CN"/>
        </w:rPr>
        <w:t>本单位为机构改革从岳阳市城管事务中心分立新增单位，2023年6月开始独立核算，当年部分费用在原单位列支。</w:t>
      </w:r>
    </w:p>
    <w:p w14:paraId="0D9B704C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五、一般公共预算财政拨款支出决算情况说明</w:t>
      </w:r>
    </w:p>
    <w:p w14:paraId="59D0D867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 w:val="0"/>
          <w:bCs/>
          <w:sz w:val="32"/>
          <w:szCs w:val="32"/>
        </w:rPr>
        <w:t>（一）一般公共预算财政拨款支出决算总体情况</w:t>
      </w:r>
    </w:p>
    <w:p w14:paraId="28D5F989">
      <w:pPr>
        <w:widowControl w:val="0"/>
        <w:autoSpaceDE w:val="0"/>
        <w:autoSpaceDN w:val="0"/>
        <w:adjustRightInd w:val="0"/>
        <w:ind w:firstLine="640" w:firstLineChars="200"/>
        <w:rPr>
          <w:rFonts w:hint="eastAsia" w:ascii="CESI仿宋-GB2312" w:hAnsi="CESI仿宋-GB2312" w:eastAsia="CESI仿宋-GB2312" w:cs="CESI仿宋-GB2312"/>
          <w:i/>
          <w:iCs/>
          <w:color w:val="FF0000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202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4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年度财政拨款支出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641.86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万元，占本年支出合计的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99.98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%，与上年相比，财政拨款支出增加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209.88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万元，增长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48.59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%，主要是因为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本</w:t>
      </w:r>
      <w:r>
        <w:rPr>
          <w:rFonts w:hint="eastAsia" w:ascii="CESI仿宋-GB2312" w:hAnsi="CESI仿宋-GB2312" w:eastAsia="CESI仿宋-GB2312" w:cs="CESI仿宋-GB2312"/>
          <w:sz w:val="32"/>
          <w:szCs w:val="24"/>
          <w:lang w:val="en-US" w:eastAsia="zh-CN"/>
        </w:rPr>
        <w:t>单位为机构改革从岳阳市城管事务中心分立新增单位，2023年6月开始独立核算，当年部分费用在原单位列支。</w:t>
      </w:r>
    </w:p>
    <w:p w14:paraId="7AD92E06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CESI仿宋-GB2312" w:hAnsi="CESI仿宋-GB2312" w:eastAsia="CESI仿宋-GB2312" w:cs="CESI仿宋-GB2312"/>
          <w:b w:val="0"/>
          <w:bCs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 w:val="0"/>
          <w:bCs/>
          <w:sz w:val="32"/>
          <w:szCs w:val="32"/>
        </w:rPr>
        <w:t>（二）一般公共预算财政拨款支出决算结构情况</w:t>
      </w:r>
    </w:p>
    <w:p w14:paraId="515E90E0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202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4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年度财政拨款支出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641.86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万元，主要用于以下方面：社会保障和就业（类）支出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30.67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万元，占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4.78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%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；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城乡社区（类）支出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593.01万元，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占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92.39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%；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住房保障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（类）支出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18.18万元，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占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2.83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%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。</w:t>
      </w:r>
    </w:p>
    <w:p w14:paraId="3F8F770E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CESI仿宋-GB2312" w:hAnsi="CESI仿宋-GB2312" w:eastAsia="CESI仿宋-GB2312" w:cs="CESI仿宋-GB2312"/>
          <w:b w:val="0"/>
          <w:bCs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 w:val="0"/>
          <w:bCs/>
          <w:sz w:val="32"/>
          <w:szCs w:val="32"/>
        </w:rPr>
        <w:t>（三）一般公共预算财政拨款支出决算具体情况</w:t>
      </w:r>
    </w:p>
    <w:p w14:paraId="32B14144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202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4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年度财政拨款支出年初预算数为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686.10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万元，支出决算数为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641.86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万元，完成年初预算的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93.55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%，其中：</w:t>
      </w:r>
    </w:p>
    <w:p w14:paraId="17D94D2D"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1、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社会保障和就业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支出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（类）行政事业单位养老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支出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（款） 机关事业单位基本养老保险缴费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支出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（项）。</w:t>
      </w:r>
    </w:p>
    <w:p w14:paraId="619DD601"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年初预算为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26.6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万元，支出决算为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23.35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万元，完成年初预算的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87.78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%，决算数小于年初预算数的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主要原因是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年中人员调出，社保缴费额减少。</w:t>
      </w:r>
    </w:p>
    <w:p w14:paraId="4F92738A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2、社会保障和就业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支出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（类）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残疾人事业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（款）其他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残疾人事业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支出（项）。</w:t>
      </w:r>
    </w:p>
    <w:p w14:paraId="281504DF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CESI仿宋-GB2312" w:hAnsi="CESI仿宋-GB2312" w:eastAsia="CESI仿宋-GB2312" w:cs="CESI仿宋-GB2312"/>
          <w:color w:val="FF000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年初预算为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2.18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万元，支出决算为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2.18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万元，完成年初预算的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100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%，决算数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等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于年初预算数的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主要原因是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我单位严格按年初预算执行决算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。</w:t>
      </w:r>
    </w:p>
    <w:p w14:paraId="24D0C9EC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3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、社会保障和就业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支出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（类）其他社会保障和就业支出（款）其他社会保障和就业支出（项）。</w:t>
      </w:r>
    </w:p>
    <w:p w14:paraId="67882B2C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年初预算为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5.41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万元，支出决算为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5.14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万元，完成年初预算的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95.01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%，决算数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小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于年初预算数的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主要原因是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年中人员调出，其他社保缴费额减少。</w:t>
      </w:r>
    </w:p>
    <w:p w14:paraId="09A32468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4、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城乡社区支出（类）城乡社区管理事务（款）行政运行（项）。</w:t>
      </w:r>
    </w:p>
    <w:p w14:paraId="38C56A20"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color w:val="FF0000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年初预算为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214.68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万元，支出决算为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206.94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万元，完成年初预算的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96.39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%，决算数小于年初预算数的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主要原因是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年中人员调出，其他社保缴费额减少。</w:t>
      </w:r>
    </w:p>
    <w:p w14:paraId="51A47971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5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、城乡社区支出（类）城乡社区管理事务（款） 其他城乡社区管理事务支出（项）。</w:t>
      </w:r>
    </w:p>
    <w:p w14:paraId="5A72C4EF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年初预算为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0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万元，支出决算为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216.84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万元，决算数大于年初预算数的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主要原因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是指标下达时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216.84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万元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使用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款项由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城乡社区规划与管理（款）城乡社区规划与管理（项）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调整为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城乡社区管理事务（款） 其他城乡社区管理事务支出（项）。</w:t>
      </w:r>
    </w:p>
    <w:p w14:paraId="2D37BB01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、城乡社区支出（类）城乡社区规划与管理（款）城乡社区规划与管理（项）。</w:t>
      </w:r>
    </w:p>
    <w:p w14:paraId="70751E57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CESI仿宋-GB2312" w:hAnsi="CESI仿宋-GB2312" w:eastAsia="CESI仿宋-GB2312" w:cs="CESI仿宋-GB2312"/>
          <w:color w:val="FF0000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年初预算为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418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万元，支出决算为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167.07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万元，完成年初预算的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39.97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%，决算数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小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于年初预算数的主要原因是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指标下达时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216.84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万元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使用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款项由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城乡社区规划与管理（款）城乡社区规划与管理（项）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调整为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城乡社区管理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事务（款） 其他城乡社区管理事务支出（项）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，另外，部分专项经费结转下年结算。</w:t>
      </w:r>
    </w:p>
    <w:p w14:paraId="4E4E6F57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7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、城乡社区支出（类）其他城乡社区支出（款）其他城乡社区支出（项）。</w:t>
      </w:r>
    </w:p>
    <w:p w14:paraId="628189DE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年初预算为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0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万元，支出决算为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2.16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万元，决算数大于年初预算数的主要原因是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上年结转资金本年支付。</w:t>
      </w:r>
    </w:p>
    <w:p w14:paraId="18FCAFA0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8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、住房保障支出（类）住房改革支出（款）住房公积金（项）。</w:t>
      </w:r>
    </w:p>
    <w:p w14:paraId="34ABF520"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年初预算为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19.23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万元，支出决算为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18.18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万元，完成年初预算的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94.54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%，决算数小于年初预算数的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主要原因是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年中人员调出，住房公积金缴费额减少。</w:t>
      </w:r>
    </w:p>
    <w:p w14:paraId="62F6FE51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六、一般公共预算财政拨款基本支出决算情况说明</w:t>
      </w:r>
    </w:p>
    <w:p w14:paraId="1F447681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202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4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年度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一般公共预算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财政拨款基本支出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259.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" w:eastAsia="zh-CN"/>
        </w:rPr>
        <w:t>90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万元，其中：</w:t>
      </w:r>
    </w:p>
    <w:p w14:paraId="1C88AEFD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color w:val="FF0000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</w:rPr>
        <w:t>人员经费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238.96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万元，占基本支出的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91.9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" w:eastAsia="zh-CN"/>
        </w:rPr>
        <w:t>4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%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主要包括基本工资、津贴补贴、奖金、伙食补助费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</w:rPr>
        <w:t>绩效工资、机关事业单位基本养老保险缴费、职工基本医疗保险缴费、其他社会保障缴费、住房公积金；</w:t>
      </w:r>
    </w:p>
    <w:p w14:paraId="1556EC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</w:rPr>
        <w:t>公用经费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20.9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" w:eastAsia="zh-CN"/>
        </w:rPr>
        <w:t>4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万元，占基本支出的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8.0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" w:eastAsia="zh-CN"/>
        </w:rPr>
        <w:t>6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%，主要包括办公费、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印刷费、水费、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</w:rPr>
        <w:t>电费、邮电费、物业管理费、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差旅费、维修（护）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</w:rPr>
        <w:t>费、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劳务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</w:rPr>
        <w:t>费、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委托业务费、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</w:rPr>
        <w:t>工会经费、福利费、其他商品和服务支出</w:t>
      </w:r>
      <w:r>
        <w:rPr>
          <w:rFonts w:hint="eastAsia" w:ascii="CESI仿宋-GB2312" w:hAnsi="CESI仿宋-GB2312" w:eastAsia="CESI仿宋-GB2312" w:cs="CESI仿宋-GB2312"/>
          <w:b w:val="0"/>
          <w:bCs/>
          <w:sz w:val="32"/>
          <w:szCs w:val="32"/>
          <w:lang w:eastAsia="zh-CN"/>
        </w:rPr>
        <w:t>。</w:t>
      </w:r>
    </w:p>
    <w:p w14:paraId="6BC5C74D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七、政府性基金预算收入支出决算情况</w:t>
      </w:r>
    </w:p>
    <w:p w14:paraId="6A9187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/>
          <w:color w:val="auto"/>
          <w:kern w:val="0"/>
          <w:sz w:val="36"/>
          <w:szCs w:val="36"/>
          <w:lang w:val="en-US" w:eastAsia="zh-CN" w:bidi="ar-SA"/>
        </w:rPr>
        <w:t xml:space="preserve"> </w:t>
      </w:r>
      <w:r>
        <w:rPr>
          <w:rFonts w:hint="eastAsia" w:ascii="CESI仿宋-GB2312" w:hAnsi="CESI仿宋-GB2312" w:eastAsia="CESI仿宋-GB2312" w:cs="CESI仿宋-GB2312"/>
          <w:b w:val="0"/>
          <w:bCs w:val="0"/>
          <w:i w:val="0"/>
          <w:iCs/>
          <w:color w:val="auto"/>
          <w:kern w:val="0"/>
          <w:sz w:val="32"/>
          <w:szCs w:val="32"/>
          <w:lang w:val="en-US" w:eastAsia="zh-CN" w:bidi="ar-SA"/>
        </w:rPr>
        <w:t>2024年度政府性基金预算财政拨款收入0万元；年初结转和结余0万元；支出0万元，其中基本支出0万元，项目支出0万元；年末结转和结余0万元。</w:t>
      </w:r>
    </w:p>
    <w:p w14:paraId="440676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 w:bidi="ar-SA"/>
        </w:rPr>
        <w:t>八、国有资本经营预算财政拨款支出决算情况</w:t>
      </w:r>
    </w:p>
    <w:p w14:paraId="499256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i w:val="0"/>
          <w:iCs/>
          <w:color w:val="auto"/>
          <w:kern w:val="0"/>
          <w:sz w:val="32"/>
          <w:szCs w:val="32"/>
          <w:lang w:val="en-US" w:eastAsia="zh-CN" w:bidi="ar-SA"/>
        </w:rPr>
        <w:t>2024年度国有资本经营预算财政拨款收入0万元；年初结转和结余0万；支出0万元，其中：基本支出0万元，项目支出0万元；年末结转和结余0万元。</w:t>
      </w:r>
    </w:p>
    <w:p w14:paraId="5D4ED11B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hAnsi="黑体" w:cs="黑体"/>
          <w:b w:val="0"/>
          <w:bCs/>
          <w:sz w:val="32"/>
          <w:szCs w:val="32"/>
          <w:lang w:eastAsia="zh-CN"/>
        </w:rPr>
        <w:t>九、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财政拨款三公经费支出决算情况说明</w:t>
      </w:r>
    </w:p>
    <w:p w14:paraId="16A38C7A">
      <w:pPr>
        <w:pStyle w:val="16"/>
        <w:overflowPunct w:val="0"/>
        <w:autoSpaceDE/>
        <w:autoSpaceDN/>
        <w:spacing w:line="600" w:lineRule="exact"/>
        <w:ind w:firstLine="640" w:firstLineChars="200"/>
        <w:jc w:val="both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（一）</w:t>
      </w:r>
      <w:r>
        <w:rPr>
          <w:rFonts w:hint="eastAsia" w:ascii="Times New Roman" w:hAnsi="Times New Roman" w:eastAsia="楷体_GB2312" w:cs="Times New Roman"/>
          <w:b/>
          <w:sz w:val="32"/>
          <w:szCs w:val="32"/>
          <w:lang w:eastAsia="zh-CN"/>
        </w:rPr>
        <w:t>“三公”</w:t>
      </w:r>
      <w:r>
        <w:rPr>
          <w:rFonts w:ascii="Times New Roman" w:hAnsi="Times New Roman" w:eastAsia="楷体_GB2312" w:cs="Times New Roman"/>
          <w:b/>
          <w:sz w:val="32"/>
          <w:szCs w:val="32"/>
        </w:rPr>
        <w:t>经费财政拨款支出决算总体情况说明</w:t>
      </w:r>
    </w:p>
    <w:p w14:paraId="03AD470C">
      <w:pPr>
        <w:pStyle w:val="16"/>
        <w:overflowPunct w:val="0"/>
        <w:autoSpaceDE/>
        <w:autoSpaceDN/>
        <w:spacing w:line="600" w:lineRule="exact"/>
        <w:ind w:firstLine="640" w:firstLineChars="200"/>
        <w:jc w:val="both"/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2024年度“三公”经费财政拨款支出预算为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万元，支出决算为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万元，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决算数等于预算数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，主要原因是我单位严格按预算执行决算；与上年一致，无增减变动，主要原因是按有关政策厉行节约，严控“三公经费”支出。</w:t>
      </w:r>
    </w:p>
    <w:p w14:paraId="688E5031">
      <w:pPr>
        <w:pStyle w:val="16"/>
        <w:overflowPunct w:val="0"/>
        <w:autoSpaceDE/>
        <w:autoSpaceDN/>
        <w:spacing w:line="600" w:lineRule="exact"/>
        <w:ind w:firstLine="640" w:firstLineChars="200"/>
        <w:jc w:val="both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（二）</w:t>
      </w:r>
      <w:r>
        <w:rPr>
          <w:rFonts w:hint="eastAsia" w:ascii="Times New Roman" w:hAnsi="Times New Roman" w:eastAsia="楷体_GB2312" w:cs="Times New Roman"/>
          <w:b/>
          <w:sz w:val="32"/>
          <w:szCs w:val="32"/>
          <w:lang w:eastAsia="zh-CN"/>
        </w:rPr>
        <w:t>“三公”</w:t>
      </w:r>
      <w:r>
        <w:rPr>
          <w:rFonts w:ascii="Times New Roman" w:hAnsi="Times New Roman" w:eastAsia="楷体_GB2312" w:cs="Times New Roman"/>
          <w:b/>
          <w:sz w:val="32"/>
          <w:szCs w:val="32"/>
        </w:rPr>
        <w:t>经费财政拨款支出决算具体情况说明</w:t>
      </w:r>
    </w:p>
    <w:p w14:paraId="16DC278D">
      <w:pPr>
        <w:pStyle w:val="16"/>
        <w:overflowPunct w:val="0"/>
        <w:autoSpaceDE/>
        <w:autoSpaceDN/>
        <w:spacing w:line="600" w:lineRule="exact"/>
        <w:ind w:firstLine="640" w:firstLineChars="200"/>
        <w:jc w:val="both"/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1.因公出国（境）费支出预算为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万元，支出决算为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万元，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决算数等于预算数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，主要原因是我单位严格按预算执行决算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；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与上年一致，无增减变动，主要原因是未安排因公出国（境）活动。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2024年度安排因公出国（境）团组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个，累计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人次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。</w:t>
      </w:r>
    </w:p>
    <w:p w14:paraId="645390EB">
      <w:pPr>
        <w:pStyle w:val="16"/>
        <w:overflowPunct w:val="0"/>
        <w:autoSpaceDE/>
        <w:autoSpaceDN/>
        <w:spacing w:line="600" w:lineRule="exact"/>
        <w:ind w:firstLine="640" w:firstLineChars="200"/>
        <w:jc w:val="both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2.公务用车购置费及运行维护费支出预算为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万元，支出决算为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万元，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决算数等于预算数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；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与上年一致，无增减变动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。其中：</w:t>
      </w:r>
    </w:p>
    <w:p w14:paraId="37BF0377">
      <w:pPr>
        <w:pStyle w:val="16"/>
        <w:overflowPunct w:val="0"/>
        <w:autoSpaceDE/>
        <w:autoSpaceDN/>
        <w:spacing w:line="600" w:lineRule="exact"/>
        <w:ind w:firstLine="640" w:firstLineChars="200"/>
        <w:jc w:val="both"/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公务用车购置费支出预算为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万元，支出决算为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万元，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决算数等于预算数，主要原因是我单位严格按预算执行决算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；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与上年一致，无增减变动，主要原因是两年均未购置公务用车。本单位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更新公务用车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辆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。</w:t>
      </w:r>
    </w:p>
    <w:p w14:paraId="36756BA2">
      <w:pPr>
        <w:pStyle w:val="16"/>
        <w:overflowPunct w:val="0"/>
        <w:autoSpaceDE/>
        <w:autoSpaceDN/>
        <w:spacing w:line="600" w:lineRule="exact"/>
        <w:ind w:firstLine="640" w:firstLineChars="200"/>
        <w:jc w:val="both"/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公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务用车运行维护费支出预算为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万元，支出决算为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万元，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决算数等于预算数，主要原因是我单位严格按预算执行决算；与上年一致，无增减变动，主要原因是两年均无公务用车需要运行维护。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截止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到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2024年12月31日，我单位开支财政拨款的公务用车保有量为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辆。</w:t>
      </w:r>
    </w:p>
    <w:p w14:paraId="1E59AD83">
      <w:pPr>
        <w:pStyle w:val="16"/>
        <w:overflowPunct w:val="0"/>
        <w:autoSpaceDE/>
        <w:autoSpaceDN/>
        <w:spacing w:line="600" w:lineRule="exact"/>
        <w:ind w:firstLine="640" w:firstLineChars="200"/>
        <w:jc w:val="both"/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公务接待费支出预算为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0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万元，支出决算为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万元，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决算数等于预算数，主要原因是严格执行中央八项规定；与上年一致，无增减变动，主要原因是按有关政策厉行节约，严控公务接待支出。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2024年度共接待来访团组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个、来宾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人次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。</w:t>
      </w:r>
    </w:p>
    <w:p w14:paraId="56E18ED9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b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b/>
          <w:color w:val="auto"/>
          <w:sz w:val="32"/>
          <w:szCs w:val="32"/>
          <w:lang w:eastAsia="zh-CN"/>
        </w:rPr>
        <w:t>十</w:t>
      </w:r>
      <w:r>
        <w:rPr>
          <w:rFonts w:hint="eastAsia" w:ascii="Times New Roman" w:hAnsi="Times New Roman" w:eastAsia="仿宋_GB2312"/>
          <w:b/>
          <w:color w:val="auto"/>
          <w:sz w:val="32"/>
          <w:szCs w:val="32"/>
        </w:rPr>
        <w:t>、关于机关运行经费支出说明</w:t>
      </w:r>
    </w:p>
    <w:p w14:paraId="0FC67DF4">
      <w:pPr>
        <w:pStyle w:val="16"/>
        <w:ind w:firstLine="640" w:firstLineChars="200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i w:val="0"/>
          <w:iCs/>
          <w:color w:val="auto"/>
          <w:sz w:val="32"/>
          <w:szCs w:val="32"/>
          <w:lang w:val="en-US" w:eastAsia="zh-CN"/>
        </w:rPr>
        <w:t>本单位为全额拨款事业单位，按照机关运行经费的口径，本年度机关运行经费为0。</w:t>
      </w:r>
    </w:p>
    <w:p w14:paraId="5EC23BE2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十</w:t>
      </w:r>
      <w:r>
        <w:rPr>
          <w:rFonts w:hint="eastAsia" w:hAnsi="黑体" w:cs="黑体"/>
          <w:b w:val="0"/>
          <w:bCs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、一般性支出情况说明</w:t>
      </w:r>
    </w:p>
    <w:p w14:paraId="1F3AADB9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i w:val="0"/>
          <w:i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202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4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年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年度，</w:t>
      </w:r>
      <w:r>
        <w:rPr>
          <w:rFonts w:hint="eastAsia" w:ascii="CESI仿宋-GB2312" w:hAnsi="CESI仿宋-GB2312" w:eastAsia="CESI仿宋-GB2312" w:cs="CESI仿宋-GB2312"/>
          <w:b w:val="0"/>
          <w:bCs w:val="0"/>
          <w:i w:val="0"/>
          <w:iCs w:val="0"/>
          <w:color w:val="auto"/>
          <w:kern w:val="0"/>
          <w:sz w:val="32"/>
          <w:szCs w:val="32"/>
          <w:lang w:val="en-US" w:eastAsia="zh-CN" w:bidi="ar-SA"/>
        </w:rPr>
        <w:t>本单位无会议费的预算和支出决算数；本单位无培训费的预算和支出决算数；本单位无举办节庆、晚会、论坛、赛事等活动的预算和支出决算数。</w:t>
      </w:r>
    </w:p>
    <w:p w14:paraId="2A5A48DE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十</w:t>
      </w:r>
      <w:r>
        <w:rPr>
          <w:rFonts w:hint="eastAsia" w:hAnsi="黑体" w:cs="黑体"/>
          <w:b w:val="0"/>
          <w:bCs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、关于政府采购支出说明</w:t>
      </w:r>
    </w:p>
    <w:p w14:paraId="5661A35F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本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单位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202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4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年度政府采购支出总额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354.03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万元，其中：政府采购货物支出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3.4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万元、政府采购工程支出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193.1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万元、政府采购服务支出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157.53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万元。授予中小企业合同金额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354.03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万元，占政府采购支出总额的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100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%，其中：授予小微企业合同金额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354.03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万元，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占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授予中小企业合同金额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的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100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%。货物采购授予中小企业合同金额占货物支出金额的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100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%，工程采购授予中小企业合同金额占工程支出金额的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100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%，服务采购授予中小企业合同金额占服务支出金额的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100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%。</w:t>
      </w:r>
    </w:p>
    <w:p w14:paraId="41805D5C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十</w:t>
      </w:r>
      <w:r>
        <w:rPr>
          <w:rFonts w:hint="eastAsia" w:hAnsi="黑体" w:cs="黑体"/>
          <w:b w:val="0"/>
          <w:bCs/>
          <w:color w:val="auto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、关于国有资产占用情况说明</w:t>
      </w:r>
    </w:p>
    <w:p w14:paraId="2E65980E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i w:val="0"/>
          <w:iCs/>
          <w:color w:val="auto"/>
          <w:sz w:val="32"/>
          <w:szCs w:val="32"/>
          <w:lang w:val="en-US" w:eastAsia="zh-CN"/>
        </w:rPr>
        <w:t>截至2024年12月31日，本单位共有车辆0辆，其中，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副部（省）级及以上领导用车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辆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主要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负责人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用车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辆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机要通信用车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辆、应急保障用车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辆、执法执勤用车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辆、特种专业技术用车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辆、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离退休干部服务用车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辆、其他用车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辆；单位价值100万元以上设备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（不含车辆）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台（套）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。</w:t>
      </w:r>
    </w:p>
    <w:p w14:paraId="60926E52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  <w:t>十</w:t>
      </w:r>
      <w:r>
        <w:rPr>
          <w:rFonts w:hint="eastAsia" w:hAnsi="黑体" w:cs="黑体"/>
          <w:b w:val="0"/>
          <w:bCs/>
          <w:color w:val="auto"/>
          <w:sz w:val="32"/>
          <w:szCs w:val="32"/>
          <w:highlight w:val="none"/>
          <w:lang w:eastAsia="zh-CN"/>
        </w:rPr>
        <w:t>四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  <w:t>、关于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  <w:t>年度</w:t>
      </w:r>
      <w:r>
        <w:rPr>
          <w:rFonts w:hint="eastAsia" w:hAnsi="黑体" w:cs="黑体"/>
          <w:b w:val="0"/>
          <w:bCs/>
          <w:color w:val="auto"/>
          <w:sz w:val="32"/>
          <w:szCs w:val="32"/>
          <w:highlight w:val="none"/>
          <w:lang w:eastAsia="zh-CN"/>
        </w:rPr>
        <w:t>预算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  <w:t>绩效</w:t>
      </w:r>
      <w:r>
        <w:rPr>
          <w:rFonts w:hint="eastAsia" w:hAnsi="黑体" w:cs="黑体"/>
          <w:b w:val="0"/>
          <w:bCs/>
          <w:color w:val="auto"/>
          <w:sz w:val="32"/>
          <w:szCs w:val="32"/>
          <w:highlight w:val="none"/>
          <w:lang w:eastAsia="zh-CN"/>
        </w:rPr>
        <w:t>管理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  <w:t>情况的说明</w:t>
      </w:r>
    </w:p>
    <w:p w14:paraId="75922225">
      <w:pPr>
        <w:overflowPunct w:val="0"/>
        <w:spacing w:line="600" w:lineRule="exact"/>
        <w:ind w:firstLine="640" w:firstLineChars="200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（一）绩效评价工作开展情况</w:t>
      </w:r>
    </w:p>
    <w:p w14:paraId="6019DDFF">
      <w:pPr>
        <w:overflowPunct w:val="0"/>
        <w:spacing w:line="60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CESI仿宋-GB2312" w:hAnsi="CESI仿宋-GB2312" w:eastAsia="CESI仿宋-GB2312" w:cs="CESI仿宋-GB2312"/>
          <w:b/>
          <w:bCs/>
          <w:kern w:val="0"/>
          <w:sz w:val="32"/>
          <w:szCs w:val="32"/>
          <w:lang w:val="en-US" w:eastAsia="zh-CN"/>
        </w:rPr>
        <w:t>绩</w:t>
      </w:r>
      <w:r>
        <w:rPr>
          <w:rFonts w:hint="eastAsia" w:ascii="CESI仿宋-GB2312" w:hAnsi="CESI仿宋-GB2312" w:eastAsia="CESI仿宋-GB2312" w:cs="CESI仿宋-GB2312"/>
          <w:b/>
          <w:bCs/>
          <w:kern w:val="0"/>
          <w:sz w:val="32"/>
          <w:szCs w:val="32"/>
        </w:rPr>
        <w:t>效自评开展情况。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  <w:t>组织对2024年度本单位整体支出开展绩效自评，涉及项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val="en-US" w:eastAsia="zh-CN"/>
        </w:rPr>
        <w:t>目3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  <w:t>个，共涉及资金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val="en-US" w:eastAsia="zh-CN"/>
        </w:rPr>
        <w:t>382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  <w:t>万元。其中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  <w:t>一般公共预算项目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val="en-US" w:eastAsia="zh-CN"/>
        </w:rPr>
        <w:t>3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  <w:t>个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val="en-US" w:eastAsia="zh-CN"/>
        </w:rPr>
        <w:t>382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  <w:t>万元，占一般公共预算支出总额的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val="en-US" w:eastAsia="zh-CN"/>
        </w:rPr>
        <w:t>59.51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  <w:t>%；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val="en-US" w:eastAsia="zh-CN"/>
        </w:rPr>
        <w:t>本单位无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  <w:t>政府性基金预算项目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  <w:t>国有资本经营预算项目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val="en-US" w:eastAsia="zh-CN"/>
        </w:rPr>
        <w:t>和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highlight w:val="none"/>
        </w:rPr>
        <w:t>社会保险基金预算项目预算支出。</w:t>
      </w:r>
    </w:p>
    <w:p w14:paraId="5E06CFA2">
      <w:pPr>
        <w:ind w:firstLine="640" w:firstLineChars="200"/>
        <w:rPr>
          <w:rFonts w:hint="eastAsia" w:ascii="CESI仿宋-GB2312" w:hAnsi="CESI仿宋-GB2312" w:eastAsia="CESI仿宋-GB2312" w:cs="CESI仿宋-GB2312"/>
          <w:b w:val="0"/>
          <w:bCs w:val="0"/>
          <w:color w:val="000000"/>
          <w:spacing w:val="6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2024年，在市委、市政府及城管局党组的坚强领导下，坚持走生态优先、绿色发展之路，</w:t>
      </w:r>
      <w:bookmarkStart w:id="0" w:name="_GoBack"/>
      <w:bookmarkEnd w:id="0"/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为贯彻落实“守护好一江碧水”的生态发展理念，加强园区环境安全监管，多措并举抓实全力落实我市垃圾分类末端处置环节各项工作，确保我市生活垃圾得到安全、高效处置。</w:t>
      </w:r>
      <w:r>
        <w:rPr>
          <w:rFonts w:hint="eastAsia" w:ascii="CESI仿宋-GB2312" w:hAnsi="CESI仿宋-GB2312" w:eastAsia="CESI仿宋-GB2312" w:cs="CESI仿宋-GB2312"/>
          <w:b w:val="0"/>
          <w:bCs w:val="0"/>
          <w:kern w:val="2"/>
          <w:sz w:val="32"/>
          <w:szCs w:val="32"/>
          <w:lang w:val="en-US" w:eastAsia="zh-CN" w:bidi="ar-SA"/>
        </w:rPr>
        <w:t>主要业务工作进展如下：一是城市生活垃圾焚烧发电项目一期稳步运营，二期建设有序推进。二是厨余垃圾资源化利用和无害化处置项目收运处置稳步提升。三是全市医疗垃圾得到有效收集和安全处置。四是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000000"/>
          <w:spacing w:val="6"/>
          <w:sz w:val="32"/>
          <w:szCs w:val="32"/>
          <w:lang w:val="en-US" w:eastAsia="zh-CN"/>
        </w:rPr>
        <w:t>炉渣处置项目解决了垃圾焚烧后炉渣去向问题，变废为宝，实现了资源再利用。</w:t>
      </w:r>
    </w:p>
    <w:p w14:paraId="38C52AF0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64" w:firstLineChars="200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color w:val="000000"/>
          <w:spacing w:val="6"/>
          <w:sz w:val="32"/>
          <w:szCs w:val="32"/>
          <w:lang w:val="en-US" w:eastAsia="zh-CN"/>
        </w:rPr>
        <w:t>园区企业的平稳运营，使我市中心城区固废垃圾得到资源化、无害化处置，基本实现原生垃圾零填埋，呈现出经济效益、社会效益、生态效益三丰收的良好局面，为我市垃圾分类工作打下坚实基础。同时，加强对场内及周边各类水质检测与环境监测，</w:t>
      </w:r>
      <w:r>
        <w:rPr>
          <w:rFonts w:hint="eastAsia" w:ascii="CESI仿宋-GB2312" w:hAnsi="CESI仿宋-GB2312" w:eastAsia="CESI仿宋-GB2312" w:cs="CESI仿宋-GB2312"/>
          <w:b w:val="0"/>
          <w:bCs w:val="0"/>
          <w:spacing w:val="6"/>
          <w:sz w:val="32"/>
          <w:szCs w:val="32"/>
          <w:lang w:val="en-US" w:eastAsia="zh-CN"/>
        </w:rPr>
        <w:t>完善</w:t>
      </w:r>
      <w:r>
        <w:rPr>
          <w:rFonts w:hint="eastAsia" w:ascii="CESI仿宋-GB2312" w:hAnsi="CESI仿宋-GB2312" w:eastAsia="CESI仿宋-GB2312" w:cs="CESI仿宋-GB2312"/>
          <w:b w:val="0"/>
          <w:bCs w:val="0"/>
          <w:strike w:val="0"/>
          <w:dstrike w:val="0"/>
          <w:color w:val="000000"/>
          <w:sz w:val="32"/>
          <w:szCs w:val="32"/>
          <w:lang w:val="en-US" w:eastAsia="zh-CN"/>
        </w:rPr>
        <w:t>园区</w:t>
      </w:r>
      <w:r>
        <w:rPr>
          <w:rFonts w:hint="eastAsia" w:ascii="CESI仿宋-GB2312" w:hAnsi="CESI仿宋-GB2312" w:eastAsia="CESI仿宋-GB2312" w:cs="CESI仿宋-GB2312"/>
          <w:b w:val="0"/>
          <w:bCs w:val="0"/>
          <w:spacing w:val="6"/>
          <w:sz w:val="32"/>
          <w:szCs w:val="32"/>
          <w:lang w:val="en-US" w:eastAsia="zh-CN"/>
        </w:rPr>
        <w:t>配套建设，</w:t>
      </w:r>
      <w:r>
        <w:rPr>
          <w:rFonts w:hint="eastAsia" w:ascii="CESI仿宋-GB2312" w:hAnsi="CESI仿宋-GB2312" w:eastAsia="CESI仿宋-GB2312" w:cs="CESI仿宋-GB2312"/>
          <w:b w:val="0"/>
          <w:bCs w:val="0"/>
          <w:strike w:val="0"/>
          <w:dstrike w:val="0"/>
          <w:color w:val="000000"/>
          <w:sz w:val="32"/>
          <w:szCs w:val="32"/>
          <w:lang w:val="en-US" w:eastAsia="zh-CN"/>
        </w:rPr>
        <w:t>使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000000"/>
          <w:spacing w:val="6"/>
          <w:sz w:val="32"/>
          <w:szCs w:val="32"/>
          <w:lang w:val="en-US" w:eastAsia="zh-CN"/>
        </w:rPr>
        <w:t>已建成道路雨水管道全部联通并网，规范园区雨水排口管理，</w:t>
      </w:r>
      <w:r>
        <w:rPr>
          <w:rFonts w:hint="eastAsia" w:ascii="CESI仿宋-GB2312" w:hAnsi="CESI仿宋-GB2312" w:eastAsia="CESI仿宋-GB2312" w:cs="CESI仿宋-GB2312"/>
          <w:b w:val="0"/>
          <w:bCs w:val="0"/>
          <w:spacing w:val="6"/>
          <w:sz w:val="32"/>
          <w:szCs w:val="32"/>
          <w:lang w:val="en-US" w:eastAsia="zh-CN"/>
        </w:rPr>
        <w:t>守牢园区环保底线。</w:t>
      </w:r>
    </w:p>
    <w:p w14:paraId="043130D3">
      <w:pPr>
        <w:numPr>
          <w:ilvl w:val="0"/>
          <w:numId w:val="0"/>
        </w:numPr>
        <w:overflowPunct w:val="0"/>
        <w:spacing w:line="600" w:lineRule="exact"/>
        <w:ind w:firstLine="640" w:firstLineChars="200"/>
        <w:rPr>
          <w:rFonts w:hint="eastAsia" w:ascii="CESI仿宋-GB2312" w:hAnsi="CESI仿宋-GB2312" w:eastAsia="CESI仿宋-GB2312" w:cs="CESI仿宋-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2.</w:t>
      </w:r>
      <w:r>
        <w:rPr>
          <w:rFonts w:ascii="Times New Roman" w:hAnsi="Times New Roman" w:eastAsia="仿宋_GB2312" w:cs="Times New Roman"/>
          <w:b/>
          <w:bCs/>
          <w:kern w:val="0"/>
          <w:sz w:val="32"/>
          <w:szCs w:val="32"/>
        </w:rPr>
        <w:t>部门评价开展情况。</w:t>
      </w:r>
      <w:r>
        <w:rPr>
          <w:rFonts w:hint="eastAsia" w:ascii="CESI仿宋-GB2312" w:hAnsi="CESI仿宋-GB2312" w:eastAsia="CESI仿宋-GB2312" w:cs="CESI仿宋-GB2312"/>
          <w:color w:val="auto"/>
          <w:kern w:val="0"/>
          <w:sz w:val="32"/>
          <w:szCs w:val="32"/>
          <w:lang w:val="en-US" w:eastAsia="zh-CN"/>
        </w:rPr>
        <w:t>本单位为二级预算单位，部门评价开展情况可详见上级部门决算公开说明。</w:t>
      </w:r>
    </w:p>
    <w:p w14:paraId="62A38EBA">
      <w:pPr>
        <w:overflowPunct w:val="0"/>
        <w:spacing w:line="600" w:lineRule="exact"/>
        <w:ind w:firstLine="640" w:firstLineChars="200"/>
        <w:rPr>
          <w:rFonts w:hint="eastAsia" w:ascii="CESI仿宋-GB2312" w:hAnsi="CESI仿宋-GB2312" w:eastAsia="CESI仿宋-GB2312" w:cs="CESI仿宋-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3.</w:t>
      </w:r>
      <w:r>
        <w:rPr>
          <w:rFonts w:ascii="Times New Roman" w:hAnsi="Times New Roman" w:eastAsia="仿宋_GB2312" w:cs="Times New Roman"/>
          <w:b/>
          <w:bCs/>
          <w:kern w:val="0"/>
          <w:sz w:val="32"/>
          <w:szCs w:val="32"/>
        </w:rPr>
        <w:t>事前绩效评估开展情况。</w:t>
      </w:r>
      <w:r>
        <w:rPr>
          <w:rFonts w:hint="eastAsia" w:ascii="CESI仿宋-GB2312" w:hAnsi="CESI仿宋-GB2312" w:eastAsia="CESI仿宋-GB2312" w:cs="CESI仿宋-GB2312"/>
          <w:color w:val="auto"/>
          <w:kern w:val="0"/>
          <w:sz w:val="32"/>
          <w:szCs w:val="32"/>
          <w:lang w:val="en-US" w:eastAsia="zh-CN"/>
        </w:rPr>
        <w:t>本单位为二级预算单位，事前绩效评估开展情况可详见上级部门决算公开说明。</w:t>
      </w:r>
    </w:p>
    <w:p w14:paraId="1F8E5B68">
      <w:pPr>
        <w:overflowPunct w:val="0"/>
        <w:spacing w:line="600" w:lineRule="exact"/>
        <w:ind w:firstLine="640" w:firstLineChars="200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（二）绩效评价结果</w:t>
      </w:r>
    </w:p>
    <w:p w14:paraId="2366C48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CESI仿宋-GB2312" w:hAnsi="CESI仿宋-GB2312" w:eastAsia="CESI仿宋-GB2312" w:cs="CESI仿宋-GB2312"/>
          <w:b/>
          <w:bCs/>
          <w:kern w:val="0"/>
          <w:sz w:val="32"/>
          <w:szCs w:val="32"/>
        </w:rPr>
        <w:t>绩效自评结果。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  <w:t>2024年度本单位整体支出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全年预算数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671.65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万元，执行数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641.96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万元，完成预算的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95.58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%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  <w:t>，绩效自评得分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98.56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分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  <w:t>，评价等级为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“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优秀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”。</w:t>
      </w:r>
    </w:p>
    <w:p w14:paraId="603FBE2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绩效目标完成情况：一是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</w:rPr>
        <w:t>市生活垃圾焚烧</w:t>
      </w:r>
      <w:r>
        <w:rPr>
          <w:rFonts w:hint="eastAsia" w:ascii="CESI仿宋-GB2312" w:hAnsi="CESI仿宋-GB2312" w:eastAsia="CESI仿宋-GB2312" w:cs="CESI仿宋-GB2312"/>
          <w:color w:val="auto"/>
          <w:kern w:val="0"/>
          <w:sz w:val="32"/>
          <w:szCs w:val="32"/>
          <w:highlight w:val="none"/>
          <w:lang w:val="en-US" w:eastAsia="zh-CN" w:bidi="ar-SA"/>
        </w:rPr>
        <w:t>发电</w:t>
      </w: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highlight w:val="none"/>
          <w:lang w:val="en-US" w:eastAsia="zh-CN" w:bidi="ar-SA"/>
        </w:rPr>
        <w:t>项目一期2024年度共焚烧生活垃圾：年焚烧生活垃圾近54.66万吨中心城区约43万吨，统筹范围内 11.66万吨），日焚烧垃圾近1500吨。项目年核算收益约1.45亿元，（其中：焚烧补贴费3771.34万元、发电上网补贴费：1.06亿、炉渣收益约：160万元）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；二是</w:t>
      </w:r>
      <w:r>
        <w:rPr>
          <w:rFonts w:hint="eastAsia" w:ascii="CESI仿宋-GB2312" w:hAnsi="CESI仿宋-GB2312" w:eastAsia="CESI仿宋-GB2312" w:cs="CESI仿宋-GB2312"/>
          <w:color w:val="auto"/>
          <w:kern w:val="0"/>
          <w:sz w:val="32"/>
          <w:szCs w:val="32"/>
          <w:highlight w:val="none"/>
          <w:lang w:val="en-US" w:eastAsia="zh-CN" w:bidi="ar-SA"/>
        </w:rPr>
        <w:t>罗家坳无害化处理场2024年度截止目前填埋区共埋飞灰约5.8万吨，剩余库容约39.62万m³。渗滤液处理后全部达标排放；三是</w:t>
      </w: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highlight w:val="none"/>
          <w:lang w:val="en-US" w:eastAsia="zh-CN" w:bidi="ar-SA"/>
        </w:rPr>
        <w:t>厨余垃圾资源化利用和无害化处理项目，在市、区两级部门单位的大力支持与配合下，该项目垃圾收运量稳步提升，每日收运量达到140吨左右，累计收运处置餐厨垃圾约3.77万吨。</w:t>
      </w:r>
    </w:p>
    <w:p w14:paraId="09FF45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highlight w:val="none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发现的主要问题及原因：一是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干部队伍力量有待加强。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现有队伍力量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不足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，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一人多岗，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难以集中精力深耕某一领域，导致专业知识与技能碎片化，难以形成系统性专业能力。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二是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预算绩效目标编制不够规范，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指标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关联细化程度有待进一步提升，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可衡量性不强。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主要原因为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绩效管理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由财务部门兼任，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财务人员大多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为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会计、财务管理等专业，绩效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管理不但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需要掌握财经知识，还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需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熟悉相关政策、了解项目业务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情况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需要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具备管理学、法学、统计学、工程学等方面的知识，并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需要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持续更新知识体系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。</w:t>
      </w:r>
    </w:p>
    <w:p w14:paraId="324FFAD1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下一步改进措施：一是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val="en-US" w:eastAsia="zh-CN" w:bidi="ar-SA"/>
        </w:rPr>
        <w:t>加强干部队伍建设，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多渠道引进专业人才，优化岗位设置，同时，加强职工专业技术培训，提高专业技能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；二是</w:t>
      </w:r>
      <w:r>
        <w:rPr>
          <w:rFonts w:hint="eastAsia" w:ascii="CESI仿宋-GB2312" w:hAnsi="CESI仿宋-GB2312" w:eastAsia="CESI仿宋-GB2312" w:cs="CESI仿宋-GB2312"/>
          <w:color w:val="auto"/>
          <w:kern w:val="0"/>
          <w:sz w:val="32"/>
          <w:szCs w:val="32"/>
          <w:highlight w:val="none"/>
          <w:lang w:val="en-US" w:eastAsia="zh-CN" w:bidi="ar-SA"/>
        </w:rPr>
        <w:t>加强预算绩效管理相关业务知识培训，进一步增强预算意识和绩效意识。深入一线调查研究，了解具体业务情况，优化细化预算绩效目标的编制，深化预算绩效目标与业务工作的融合，增强预算的约束性，进一步提升单位预算支出绩效。</w:t>
      </w:r>
    </w:p>
    <w:p w14:paraId="49DFFA12">
      <w:pPr>
        <w:overflowPunct w:val="0"/>
        <w:spacing w:line="600" w:lineRule="exact"/>
        <w:ind w:firstLine="640" w:firstLineChars="200"/>
        <w:rPr>
          <w:rFonts w:hint="eastAsia" w:ascii="CESI仿宋-GB2312" w:hAnsi="CESI仿宋-GB2312" w:eastAsia="CESI仿宋-GB2312" w:cs="CESI仿宋-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2.</w:t>
      </w:r>
      <w:r>
        <w:rPr>
          <w:rFonts w:ascii="Times New Roman" w:hAnsi="Times New Roman" w:eastAsia="仿宋_GB2312" w:cs="Times New Roman"/>
          <w:b/>
          <w:bCs/>
          <w:kern w:val="0"/>
          <w:sz w:val="32"/>
          <w:szCs w:val="32"/>
        </w:rPr>
        <w:t>部门评价结果。</w:t>
      </w:r>
      <w:r>
        <w:rPr>
          <w:rFonts w:hint="eastAsia" w:ascii="CESI仿宋-GB2312" w:hAnsi="CESI仿宋-GB2312" w:eastAsia="CESI仿宋-GB2312" w:cs="CESI仿宋-GB2312"/>
          <w:color w:val="auto"/>
          <w:kern w:val="0"/>
          <w:sz w:val="32"/>
          <w:szCs w:val="32"/>
          <w:lang w:val="en-US" w:eastAsia="zh-CN"/>
        </w:rPr>
        <w:t>本单位为二级预算单位，部门评价结果可详见上级部门决算公开说明。</w:t>
      </w:r>
    </w:p>
    <w:p w14:paraId="29BC895A">
      <w:pPr>
        <w:overflowPunct w:val="0"/>
        <w:spacing w:line="600" w:lineRule="exact"/>
        <w:ind w:firstLine="640" w:firstLineChars="200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lang w:val="en-US" w:eastAsia="zh-CN"/>
        </w:rPr>
        <w:t>事</w:t>
      </w:r>
      <w:r>
        <w:rPr>
          <w:rFonts w:ascii="Times New Roman" w:hAnsi="Times New Roman" w:eastAsia="仿宋_GB2312" w:cs="Times New Roman"/>
          <w:b/>
          <w:bCs/>
          <w:kern w:val="0"/>
          <w:sz w:val="32"/>
          <w:szCs w:val="32"/>
          <w:highlight w:val="none"/>
        </w:rPr>
        <w:t>前绩效评估结果。</w:t>
      </w:r>
      <w:r>
        <w:rPr>
          <w:rFonts w:hint="eastAsia" w:ascii="CESI仿宋-GB2312" w:hAnsi="CESI仿宋-GB2312" w:eastAsia="CESI仿宋-GB2312" w:cs="CESI仿宋-GB2312"/>
          <w:color w:val="auto"/>
          <w:kern w:val="0"/>
          <w:sz w:val="32"/>
          <w:szCs w:val="32"/>
          <w:lang w:val="en-US" w:eastAsia="zh-CN"/>
        </w:rPr>
        <w:t>本单位为二级预算单位，事前绩效评估结果可详见上级部门决算公开说明。</w:t>
      </w:r>
    </w:p>
    <w:p w14:paraId="3AC44E9B">
      <w:pPr>
        <w:numPr>
          <w:ilvl w:val="0"/>
          <w:numId w:val="1"/>
        </w:numPr>
        <w:autoSpaceDE w:val="0"/>
        <w:autoSpaceDN w:val="0"/>
        <w:adjustRightInd w:val="0"/>
        <w:ind w:firstLine="640" w:firstLineChars="200"/>
        <w:jc w:val="left"/>
        <w:rPr>
          <w:rFonts w:ascii="Times New Roman" w:hAnsi="Times New Roman" w:eastAsia="楷体_GB2312" w:cs="Times New Roman"/>
          <w:b/>
          <w:bCs/>
          <w:color w:val="auto"/>
          <w:kern w:val="2"/>
          <w:sz w:val="32"/>
          <w:szCs w:val="32"/>
          <w:highlight w:val="none"/>
        </w:rPr>
      </w:pPr>
      <w:r>
        <w:rPr>
          <w:rFonts w:ascii="Times New Roman" w:hAnsi="Times New Roman" w:eastAsia="楷体_GB2312" w:cs="Times New Roman"/>
          <w:b/>
          <w:bCs/>
          <w:color w:val="auto"/>
          <w:kern w:val="2"/>
          <w:sz w:val="32"/>
          <w:szCs w:val="32"/>
          <w:highlight w:val="none"/>
        </w:rPr>
        <w:t>评价结果应用情况</w:t>
      </w:r>
    </w:p>
    <w:p w14:paraId="6DB995C9">
      <w:pPr>
        <w:numPr>
          <w:ilvl w:val="0"/>
          <w:numId w:val="0"/>
        </w:numPr>
        <w:autoSpaceDE w:val="0"/>
        <w:autoSpaceDN w:val="0"/>
        <w:adjustRightInd w:val="0"/>
        <w:ind w:firstLine="640" w:firstLineChars="200"/>
        <w:jc w:val="left"/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本单位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整体支出绩效自评结果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将作为完善本单位相关制度，改进资金管理的重要依据，同时，也将作为单位内部工作总结的参考依据。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</w:rPr>
        <w:t>2024年度绩效自评结果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  <w:lang w:eastAsia="zh-CN"/>
        </w:rPr>
        <w:t>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</w:rPr>
        <w:t>部门评价结果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  <w:lang w:eastAsia="zh-CN"/>
        </w:rPr>
        <w:t>将作为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</w:rPr>
        <w:t>本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  <w:lang w:eastAsia="zh-CN"/>
        </w:rPr>
        <w:t>单位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</w:rPr>
        <w:t>2025年度预算安排，支出结构调整，资金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  <w:lang w:eastAsia="zh-CN"/>
        </w:rPr>
        <w:t>投向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</w:rPr>
        <w:t>等方面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  <w:lang w:eastAsia="zh-CN"/>
        </w:rPr>
        <w:t>工作管理的重要参考依据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</w:rPr>
        <w:t>。</w:t>
      </w:r>
    </w:p>
    <w:p w14:paraId="456B7E53">
      <w:pPr>
        <w:autoSpaceDE w:val="0"/>
        <w:autoSpaceDN w:val="0"/>
        <w:adjustRightInd w:val="0"/>
        <w:ind w:firstLine="640" w:firstLineChars="200"/>
        <w:jc w:val="left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预算绩效管理开展情况、绩效目标和绩效评价报告等，已在市政府部门财政预决算公开平台上向社会公开，详见附件。</w:t>
      </w:r>
    </w:p>
    <w:p w14:paraId="01B348B4">
      <w:pPr>
        <w:pStyle w:val="10"/>
        <w:rPr>
          <w:rFonts w:hint="eastAsia"/>
          <w:lang w:val="en-US" w:eastAsia="zh-CN"/>
        </w:rPr>
      </w:pPr>
    </w:p>
    <w:p w14:paraId="740A37C8">
      <w:pPr>
        <w:numPr>
          <w:ilvl w:val="0"/>
          <w:numId w:val="0"/>
        </w:numPr>
        <w:autoSpaceDE w:val="0"/>
        <w:autoSpaceDN w:val="0"/>
        <w:adjustRightInd w:val="0"/>
        <w:jc w:val="left"/>
        <w:rPr>
          <w:rFonts w:hint="eastAsia" w:ascii="楷体" w:hAnsi="楷体" w:eastAsia="楷体" w:cs="楷体"/>
          <w:b/>
          <w:bCs/>
          <w:i w:val="0"/>
          <w:iCs w:val="0"/>
          <w:color w:val="FF0000"/>
          <w:kern w:val="0"/>
          <w:sz w:val="36"/>
          <w:szCs w:val="36"/>
          <w:lang w:val="en-US" w:eastAsia="zh-CN"/>
        </w:rPr>
      </w:pPr>
    </w:p>
    <w:p w14:paraId="53CA7EFF">
      <w:pPr>
        <w:pStyle w:val="16"/>
        <w:ind w:firstLine="2200" w:firstLineChars="500"/>
        <w:jc w:val="both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第四部分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名词解释</w:t>
      </w:r>
    </w:p>
    <w:p w14:paraId="511390C1">
      <w:pPr>
        <w:pStyle w:val="10"/>
      </w:pPr>
    </w:p>
    <w:p w14:paraId="4EC209F7">
      <w:pPr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7F177C1A">
      <w:pPr>
        <w:ind w:firstLine="640" w:firstLineChars="200"/>
        <w:jc w:val="left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</w:rPr>
        <w:t>一、“三公”经费：指用财政拨款安排的因公出国（境）费、公务用车购置及运行费和公务接待费。其中，因公出国（境）费反映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 w14:paraId="70DAC805">
      <w:pPr>
        <w:ind w:firstLine="640" w:firstLineChars="200"/>
        <w:jc w:val="left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</w:rPr>
        <w:t>二、机关运行经费</w:t>
      </w: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eastAsia="zh-CN"/>
        </w:rPr>
        <w:t>，指为保障行政单位（包括参照公务员法管理的事业单位）运行用于购买货物和服务的各项资金</w:t>
      </w: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</w:rPr>
        <w:t>，包括办公</w:t>
      </w: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eastAsia="zh-CN"/>
        </w:rPr>
        <w:t>费、</w:t>
      </w: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</w:rPr>
        <w:t>印刷费、邮电费、差旅费、会议费、日常维修费、专用材料及一般设备购置费、办公用房水电费、办公用房取暖费、办公用房物业管理费、公务用车运行维护费以及其他费用。</w:t>
      </w:r>
    </w:p>
    <w:p w14:paraId="4114C520">
      <w:pPr>
        <w:pStyle w:val="6"/>
      </w:pPr>
    </w:p>
    <w:p w14:paraId="56840EFB"/>
    <w:p w14:paraId="3EF3E837">
      <w:pPr>
        <w:pStyle w:val="16"/>
        <w:jc w:val="both"/>
        <w:rPr>
          <w:rFonts w:hint="eastAsia" w:ascii="方正小标宋_GBK" w:hAnsi="方正小标宋_GBK" w:eastAsia="方正小标宋_GBK" w:cs="方正小标宋_GBK"/>
          <w:sz w:val="72"/>
          <w:szCs w:val="72"/>
        </w:rPr>
      </w:pPr>
    </w:p>
    <w:p w14:paraId="79AB0289">
      <w:pPr>
        <w:pStyle w:val="16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第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五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部分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件</w:t>
      </w:r>
    </w:p>
    <w:p w14:paraId="66221C86">
      <w:pPr>
        <w:ind w:firstLine="640" w:firstLineChars="200"/>
        <w:jc w:val="left"/>
        <w:rPr>
          <w:rFonts w:hint="eastAsia" w:ascii="宋体" w:hAnsi="宋体" w:eastAsia="宋体" w:cs="黑体"/>
          <w:b/>
          <w:color w:val="000000"/>
          <w:kern w:val="0"/>
          <w:sz w:val="32"/>
          <w:szCs w:val="32"/>
          <w:lang w:val="en-US" w:eastAsia="zh-CN"/>
        </w:rPr>
      </w:pPr>
    </w:p>
    <w:p w14:paraId="2318C63E">
      <w:pPr>
        <w:ind w:firstLine="640" w:firstLineChars="200"/>
        <w:jc w:val="left"/>
        <w:rPr>
          <w:rFonts w:hint="eastAsia" w:ascii="宋体" w:hAnsi="宋体" w:eastAsia="宋体" w:cs="黑体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黑体"/>
          <w:b/>
          <w:color w:val="000000"/>
          <w:kern w:val="0"/>
          <w:sz w:val="32"/>
          <w:szCs w:val="32"/>
          <w:lang w:val="en-US" w:eastAsia="zh-CN"/>
        </w:rPr>
        <w:t>1、</w:t>
      </w:r>
      <w:r>
        <w:rPr>
          <w:rFonts w:hint="eastAsia" w:ascii="宋体" w:hAnsi="宋体" w:eastAsia="宋体" w:cs="黑体"/>
          <w:b/>
          <w:color w:val="000000"/>
          <w:kern w:val="0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宋体" w:hAnsi="宋体" w:eastAsia="宋体" w:cs="黑体"/>
          <w:b/>
          <w:color w:val="000000"/>
          <w:kern w:val="0"/>
          <w:sz w:val="32"/>
          <w:szCs w:val="32"/>
          <w:lang w:val="en-US" w:eastAsia="zh-CN"/>
        </w:rPr>
        <w:t>年部门决算公开表格</w:t>
      </w:r>
    </w:p>
    <w:p w14:paraId="780BF903">
      <w:pPr>
        <w:ind w:firstLine="640" w:firstLineChars="200"/>
        <w:jc w:val="left"/>
        <w:rPr>
          <w:rFonts w:ascii="宋体" w:hAnsi="宋体" w:eastAsia="宋体" w:cs="黑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黑体"/>
          <w:b/>
          <w:color w:val="000000"/>
          <w:kern w:val="0"/>
          <w:sz w:val="32"/>
          <w:szCs w:val="32"/>
          <w:lang w:val="en-US" w:eastAsia="zh-CN"/>
        </w:rPr>
        <w:t>2、</w:t>
      </w:r>
      <w:r>
        <w:rPr>
          <w:rFonts w:hint="eastAsia" w:ascii="宋体" w:hAnsi="宋体" w:eastAsia="宋体" w:cs="黑体"/>
          <w:b/>
          <w:color w:val="000000"/>
          <w:kern w:val="0"/>
          <w:sz w:val="32"/>
          <w:szCs w:val="32"/>
          <w:highlight w:val="none"/>
        </w:rPr>
        <w:t>202</w:t>
      </w:r>
      <w:r>
        <w:rPr>
          <w:rFonts w:hint="eastAsia" w:ascii="宋体" w:hAnsi="宋体" w:eastAsia="宋体" w:cs="黑体"/>
          <w:b/>
          <w:color w:val="000000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宋体" w:hAnsi="宋体" w:eastAsia="宋体" w:cs="黑体"/>
          <w:b/>
          <w:color w:val="000000"/>
          <w:kern w:val="0"/>
          <w:sz w:val="32"/>
          <w:szCs w:val="32"/>
        </w:rPr>
        <w:t>年度部门整体支出绩效评价报告</w:t>
      </w:r>
    </w:p>
    <w:p w14:paraId="52D4F850"/>
    <w:sectPr>
      <w:pgSz w:w="11906" w:h="16838"/>
      <w:pgMar w:top="720" w:right="720" w:bottom="720" w:left="72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DECFD4"/>
    <w:multiLevelType w:val="singleLevel"/>
    <w:tmpl w:val="8EDECFD4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6F9"/>
    <w:rsid w:val="0002229B"/>
    <w:rsid w:val="000273BD"/>
    <w:rsid w:val="00040CBC"/>
    <w:rsid w:val="000415B7"/>
    <w:rsid w:val="00041E3F"/>
    <w:rsid w:val="00055DAA"/>
    <w:rsid w:val="00061F7B"/>
    <w:rsid w:val="000658A3"/>
    <w:rsid w:val="00074155"/>
    <w:rsid w:val="000A3F69"/>
    <w:rsid w:val="00103957"/>
    <w:rsid w:val="00152C6D"/>
    <w:rsid w:val="00162D39"/>
    <w:rsid w:val="001678BD"/>
    <w:rsid w:val="00182373"/>
    <w:rsid w:val="001A67DB"/>
    <w:rsid w:val="001C3C29"/>
    <w:rsid w:val="001D51E5"/>
    <w:rsid w:val="001E080D"/>
    <w:rsid w:val="001E53D0"/>
    <w:rsid w:val="001F0C3B"/>
    <w:rsid w:val="00202C82"/>
    <w:rsid w:val="00214427"/>
    <w:rsid w:val="00226CB7"/>
    <w:rsid w:val="00264552"/>
    <w:rsid w:val="00264EF9"/>
    <w:rsid w:val="00265724"/>
    <w:rsid w:val="0027426B"/>
    <w:rsid w:val="002E0A30"/>
    <w:rsid w:val="003130C4"/>
    <w:rsid w:val="00316C4B"/>
    <w:rsid w:val="0032192B"/>
    <w:rsid w:val="003479BD"/>
    <w:rsid w:val="0037197D"/>
    <w:rsid w:val="003768D5"/>
    <w:rsid w:val="003926B9"/>
    <w:rsid w:val="003C47E6"/>
    <w:rsid w:val="003C4FC2"/>
    <w:rsid w:val="00416E61"/>
    <w:rsid w:val="0042790C"/>
    <w:rsid w:val="004506F9"/>
    <w:rsid w:val="004717A2"/>
    <w:rsid w:val="00473DF3"/>
    <w:rsid w:val="00487911"/>
    <w:rsid w:val="00491741"/>
    <w:rsid w:val="004B0CEE"/>
    <w:rsid w:val="00500E5F"/>
    <w:rsid w:val="005122EF"/>
    <w:rsid w:val="0051441A"/>
    <w:rsid w:val="00517C33"/>
    <w:rsid w:val="00517D5F"/>
    <w:rsid w:val="00523644"/>
    <w:rsid w:val="0054069E"/>
    <w:rsid w:val="00544866"/>
    <w:rsid w:val="005767CC"/>
    <w:rsid w:val="00590D9F"/>
    <w:rsid w:val="00595D26"/>
    <w:rsid w:val="005A74E6"/>
    <w:rsid w:val="005B404E"/>
    <w:rsid w:val="005D4D55"/>
    <w:rsid w:val="005E2CFB"/>
    <w:rsid w:val="005F2103"/>
    <w:rsid w:val="005F3D1C"/>
    <w:rsid w:val="0062378F"/>
    <w:rsid w:val="00641842"/>
    <w:rsid w:val="00651EEC"/>
    <w:rsid w:val="00686673"/>
    <w:rsid w:val="00691E8C"/>
    <w:rsid w:val="006A22C4"/>
    <w:rsid w:val="006A351B"/>
    <w:rsid w:val="006B0422"/>
    <w:rsid w:val="006C1B53"/>
    <w:rsid w:val="006D7730"/>
    <w:rsid w:val="006E5284"/>
    <w:rsid w:val="006F3EB5"/>
    <w:rsid w:val="00702E34"/>
    <w:rsid w:val="00704395"/>
    <w:rsid w:val="00710FE7"/>
    <w:rsid w:val="00717621"/>
    <w:rsid w:val="00720FF1"/>
    <w:rsid w:val="00727A53"/>
    <w:rsid w:val="00787B42"/>
    <w:rsid w:val="007C4539"/>
    <w:rsid w:val="007F3657"/>
    <w:rsid w:val="00812ED5"/>
    <w:rsid w:val="008277D9"/>
    <w:rsid w:val="0084478C"/>
    <w:rsid w:val="0086638C"/>
    <w:rsid w:val="008A3E8D"/>
    <w:rsid w:val="009237C4"/>
    <w:rsid w:val="00944C48"/>
    <w:rsid w:val="00950252"/>
    <w:rsid w:val="00967F5D"/>
    <w:rsid w:val="009A0F95"/>
    <w:rsid w:val="009B3ADF"/>
    <w:rsid w:val="009B4D8E"/>
    <w:rsid w:val="009C3B52"/>
    <w:rsid w:val="009E6817"/>
    <w:rsid w:val="009E6E9A"/>
    <w:rsid w:val="00A01D2B"/>
    <w:rsid w:val="00A42218"/>
    <w:rsid w:val="00A70249"/>
    <w:rsid w:val="00A70B02"/>
    <w:rsid w:val="00A71D9F"/>
    <w:rsid w:val="00A92E9F"/>
    <w:rsid w:val="00AB18FF"/>
    <w:rsid w:val="00B33BEA"/>
    <w:rsid w:val="00B57C9F"/>
    <w:rsid w:val="00B63572"/>
    <w:rsid w:val="00B845B3"/>
    <w:rsid w:val="00B85D8B"/>
    <w:rsid w:val="00BB4A40"/>
    <w:rsid w:val="00BD6C3E"/>
    <w:rsid w:val="00BE3674"/>
    <w:rsid w:val="00C10681"/>
    <w:rsid w:val="00C3049A"/>
    <w:rsid w:val="00C31B1E"/>
    <w:rsid w:val="00C77645"/>
    <w:rsid w:val="00CE04C3"/>
    <w:rsid w:val="00CE76A0"/>
    <w:rsid w:val="00D148C6"/>
    <w:rsid w:val="00D17A8A"/>
    <w:rsid w:val="00D415BA"/>
    <w:rsid w:val="00D63780"/>
    <w:rsid w:val="00D644EE"/>
    <w:rsid w:val="00DD06FF"/>
    <w:rsid w:val="00DD5FE9"/>
    <w:rsid w:val="00E00C7A"/>
    <w:rsid w:val="00E37D6C"/>
    <w:rsid w:val="00E55B68"/>
    <w:rsid w:val="00E561AE"/>
    <w:rsid w:val="00E67BE6"/>
    <w:rsid w:val="00E8683C"/>
    <w:rsid w:val="00EA2B72"/>
    <w:rsid w:val="00F74360"/>
    <w:rsid w:val="00FB462F"/>
    <w:rsid w:val="00FE16FA"/>
    <w:rsid w:val="00FE328A"/>
    <w:rsid w:val="00FE6269"/>
    <w:rsid w:val="00FF5CD6"/>
    <w:rsid w:val="059958AD"/>
    <w:rsid w:val="06C857E7"/>
    <w:rsid w:val="08C24A73"/>
    <w:rsid w:val="0AFEFCAE"/>
    <w:rsid w:val="0BA9BD32"/>
    <w:rsid w:val="0BBE064B"/>
    <w:rsid w:val="11944E2C"/>
    <w:rsid w:val="12583BA5"/>
    <w:rsid w:val="13B65390"/>
    <w:rsid w:val="13BA5B9C"/>
    <w:rsid w:val="16360483"/>
    <w:rsid w:val="17F78CE0"/>
    <w:rsid w:val="1C3B833B"/>
    <w:rsid w:val="1D97DEFF"/>
    <w:rsid w:val="1DB95116"/>
    <w:rsid w:val="1DBF2CBD"/>
    <w:rsid w:val="1DFF72E5"/>
    <w:rsid w:val="1EA41923"/>
    <w:rsid w:val="1EFC6F07"/>
    <w:rsid w:val="1F0527A6"/>
    <w:rsid w:val="20C52024"/>
    <w:rsid w:val="22AC03C2"/>
    <w:rsid w:val="283B15FE"/>
    <w:rsid w:val="292911DD"/>
    <w:rsid w:val="2B9E76FA"/>
    <w:rsid w:val="2C012B3C"/>
    <w:rsid w:val="2D7D7F0E"/>
    <w:rsid w:val="2FDF85B8"/>
    <w:rsid w:val="2FFFEE04"/>
    <w:rsid w:val="31C95635"/>
    <w:rsid w:val="34DF85B0"/>
    <w:rsid w:val="350A3839"/>
    <w:rsid w:val="36E25286"/>
    <w:rsid w:val="37014E77"/>
    <w:rsid w:val="376B69B5"/>
    <w:rsid w:val="386E302B"/>
    <w:rsid w:val="39074B30"/>
    <w:rsid w:val="3B7AE9D8"/>
    <w:rsid w:val="3B8F36BC"/>
    <w:rsid w:val="3BEC1ABD"/>
    <w:rsid w:val="3DFBF7A8"/>
    <w:rsid w:val="3EBF6ADC"/>
    <w:rsid w:val="3EFB657E"/>
    <w:rsid w:val="3F73B640"/>
    <w:rsid w:val="3F8F0F7C"/>
    <w:rsid w:val="3FFDBBCA"/>
    <w:rsid w:val="43EB5BA5"/>
    <w:rsid w:val="44290050"/>
    <w:rsid w:val="491FF225"/>
    <w:rsid w:val="4B9E1324"/>
    <w:rsid w:val="4CB85634"/>
    <w:rsid w:val="4CCB59C3"/>
    <w:rsid w:val="4D950505"/>
    <w:rsid w:val="4EC310A1"/>
    <w:rsid w:val="4FFD214C"/>
    <w:rsid w:val="50A54F03"/>
    <w:rsid w:val="5352765A"/>
    <w:rsid w:val="566E3B9F"/>
    <w:rsid w:val="5777D4F5"/>
    <w:rsid w:val="57F22B6F"/>
    <w:rsid w:val="59DD8326"/>
    <w:rsid w:val="5AAF4901"/>
    <w:rsid w:val="5CCFD4B3"/>
    <w:rsid w:val="5CD14F81"/>
    <w:rsid w:val="5DDE211E"/>
    <w:rsid w:val="5DDFDC76"/>
    <w:rsid w:val="5DEF592A"/>
    <w:rsid w:val="5E3F2271"/>
    <w:rsid w:val="5F8FF384"/>
    <w:rsid w:val="5FC6BB1E"/>
    <w:rsid w:val="5FEFB11E"/>
    <w:rsid w:val="5FF720F1"/>
    <w:rsid w:val="622964C1"/>
    <w:rsid w:val="62983B3B"/>
    <w:rsid w:val="65CDA1F4"/>
    <w:rsid w:val="6657AFDE"/>
    <w:rsid w:val="674C2E70"/>
    <w:rsid w:val="6779371A"/>
    <w:rsid w:val="67FF5C0B"/>
    <w:rsid w:val="687C171C"/>
    <w:rsid w:val="68A45648"/>
    <w:rsid w:val="69540E1C"/>
    <w:rsid w:val="6AED777A"/>
    <w:rsid w:val="6BAA4A2F"/>
    <w:rsid w:val="6DDEC5C0"/>
    <w:rsid w:val="6DFE1E1E"/>
    <w:rsid w:val="6DFF10D6"/>
    <w:rsid w:val="6EFC0924"/>
    <w:rsid w:val="6F1277AF"/>
    <w:rsid w:val="6FB74722"/>
    <w:rsid w:val="6FD7FB74"/>
    <w:rsid w:val="6FEF8B7E"/>
    <w:rsid w:val="6FF9FC19"/>
    <w:rsid w:val="6FFEF604"/>
    <w:rsid w:val="71333A0D"/>
    <w:rsid w:val="713D6455"/>
    <w:rsid w:val="717FE77F"/>
    <w:rsid w:val="71A6591B"/>
    <w:rsid w:val="737D59BA"/>
    <w:rsid w:val="737F32B1"/>
    <w:rsid w:val="73BD3FCA"/>
    <w:rsid w:val="7630676D"/>
    <w:rsid w:val="7646C46C"/>
    <w:rsid w:val="7755BD3F"/>
    <w:rsid w:val="776BDA01"/>
    <w:rsid w:val="77B7161E"/>
    <w:rsid w:val="77BFE666"/>
    <w:rsid w:val="77C37683"/>
    <w:rsid w:val="77F4856E"/>
    <w:rsid w:val="79FF515B"/>
    <w:rsid w:val="7AB3A4AD"/>
    <w:rsid w:val="7AB5D8F1"/>
    <w:rsid w:val="7AEFF537"/>
    <w:rsid w:val="7B728A12"/>
    <w:rsid w:val="7B951D18"/>
    <w:rsid w:val="7BF70734"/>
    <w:rsid w:val="7CD67E2D"/>
    <w:rsid w:val="7D59B3A6"/>
    <w:rsid w:val="7D7F98DA"/>
    <w:rsid w:val="7D994033"/>
    <w:rsid w:val="7DFBFF20"/>
    <w:rsid w:val="7E9E1962"/>
    <w:rsid w:val="7E9F11B4"/>
    <w:rsid w:val="7ECA9C89"/>
    <w:rsid w:val="7EF57BB8"/>
    <w:rsid w:val="7EFC8CE1"/>
    <w:rsid w:val="7F0B50D5"/>
    <w:rsid w:val="7F37EC1E"/>
    <w:rsid w:val="7F3ECF99"/>
    <w:rsid w:val="7F775F88"/>
    <w:rsid w:val="7F7C0DDA"/>
    <w:rsid w:val="7F7DCD9D"/>
    <w:rsid w:val="7F970A6F"/>
    <w:rsid w:val="7FC1FFF3"/>
    <w:rsid w:val="7FC69637"/>
    <w:rsid w:val="7FDF8620"/>
    <w:rsid w:val="7FF640E6"/>
    <w:rsid w:val="7FFB242F"/>
    <w:rsid w:val="7FFDB408"/>
    <w:rsid w:val="7FFE4EEB"/>
    <w:rsid w:val="87CEDA4C"/>
    <w:rsid w:val="951EB149"/>
    <w:rsid w:val="95FB2B98"/>
    <w:rsid w:val="9A639BC2"/>
    <w:rsid w:val="9D5D2087"/>
    <w:rsid w:val="9FF7D786"/>
    <w:rsid w:val="A39FC4C0"/>
    <w:rsid w:val="ABBFB23D"/>
    <w:rsid w:val="B36F980D"/>
    <w:rsid w:val="B5B4D896"/>
    <w:rsid w:val="B6BE5A03"/>
    <w:rsid w:val="B79F4E86"/>
    <w:rsid w:val="B8C93228"/>
    <w:rsid w:val="B9C7798F"/>
    <w:rsid w:val="B9CF061A"/>
    <w:rsid w:val="BF5F9D2C"/>
    <w:rsid w:val="BFDB013C"/>
    <w:rsid w:val="BFFF3B77"/>
    <w:rsid w:val="C3B4DA5A"/>
    <w:rsid w:val="C4E92C11"/>
    <w:rsid w:val="C4FF458C"/>
    <w:rsid w:val="C6D7BA4A"/>
    <w:rsid w:val="C7BBD038"/>
    <w:rsid w:val="CBFF70E0"/>
    <w:rsid w:val="CFF50B82"/>
    <w:rsid w:val="CFFFAD89"/>
    <w:rsid w:val="D3FFF724"/>
    <w:rsid w:val="D5FEFEC0"/>
    <w:rsid w:val="DAADE562"/>
    <w:rsid w:val="DCF9F350"/>
    <w:rsid w:val="DEFC95FD"/>
    <w:rsid w:val="DF753D09"/>
    <w:rsid w:val="DF7A0BC1"/>
    <w:rsid w:val="DFDF9CC7"/>
    <w:rsid w:val="DFFAEE4D"/>
    <w:rsid w:val="DFFE359E"/>
    <w:rsid w:val="DFFE4FFD"/>
    <w:rsid w:val="DFFF5403"/>
    <w:rsid w:val="E5AB2862"/>
    <w:rsid w:val="EBBF57DF"/>
    <w:rsid w:val="EBC3E00A"/>
    <w:rsid w:val="EDFBE100"/>
    <w:rsid w:val="EEABED75"/>
    <w:rsid w:val="EF7E8003"/>
    <w:rsid w:val="EFED68E8"/>
    <w:rsid w:val="F3D31E3A"/>
    <w:rsid w:val="F3DA702A"/>
    <w:rsid w:val="F3FDBF4F"/>
    <w:rsid w:val="F56FDF51"/>
    <w:rsid w:val="F5F3EE78"/>
    <w:rsid w:val="F64F1E81"/>
    <w:rsid w:val="F65FE697"/>
    <w:rsid w:val="F6B69F17"/>
    <w:rsid w:val="F6E5BB3A"/>
    <w:rsid w:val="F77F1D61"/>
    <w:rsid w:val="F7FED3A9"/>
    <w:rsid w:val="F8C9DB26"/>
    <w:rsid w:val="F97E8EAE"/>
    <w:rsid w:val="FB36E1A6"/>
    <w:rsid w:val="FB3BE134"/>
    <w:rsid w:val="FBF7190F"/>
    <w:rsid w:val="FBFEBCF4"/>
    <w:rsid w:val="FC9F57C0"/>
    <w:rsid w:val="FCFF4275"/>
    <w:rsid w:val="FD7FEEEA"/>
    <w:rsid w:val="FDEF144A"/>
    <w:rsid w:val="FDFFB577"/>
    <w:rsid w:val="FE5B9FE9"/>
    <w:rsid w:val="FEBFCF63"/>
    <w:rsid w:val="FECF6A43"/>
    <w:rsid w:val="FEEA50FE"/>
    <w:rsid w:val="FF7D47A9"/>
    <w:rsid w:val="FF7FD630"/>
    <w:rsid w:val="FFCE74B0"/>
    <w:rsid w:val="FFCF21CB"/>
    <w:rsid w:val="FFD75EF4"/>
    <w:rsid w:val="FFDFE6A9"/>
    <w:rsid w:val="FFF94102"/>
    <w:rsid w:val="FFFF0F80"/>
    <w:rsid w:val="FFFF1C8B"/>
    <w:rsid w:val="FFFF7436"/>
    <w:rsid w:val="FFFFD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toc 5"/>
    <w:basedOn w:val="1"/>
    <w:next w:val="1"/>
    <w:qFormat/>
    <w:uiPriority w:val="0"/>
    <w:pPr>
      <w:ind w:left="1680" w:leftChars="800"/>
    </w:pPr>
  </w:style>
  <w:style w:type="paragraph" w:styleId="5">
    <w:name w:val="Body Text Indent"/>
    <w:basedOn w:val="1"/>
    <w:next w:val="6"/>
    <w:unhideWhenUsed/>
    <w:qFormat/>
    <w:uiPriority w:val="99"/>
    <w:pPr>
      <w:widowControl/>
      <w:spacing w:after="120"/>
      <w:ind w:left="420" w:leftChars="200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Body Text First Indent 2"/>
    <w:basedOn w:val="5"/>
    <w:next w:val="1"/>
    <w:unhideWhenUsed/>
    <w:qFormat/>
    <w:uiPriority w:val="99"/>
    <w:pPr>
      <w:ind w:firstLine="420" w:firstLineChars="200"/>
    </w:pPr>
  </w:style>
  <w:style w:type="paragraph" w:styleId="7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footnote text"/>
    <w:basedOn w:val="1"/>
    <w:next w:val="6"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11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4">
    <w:name w:val="页眉 Char"/>
    <w:basedOn w:val="13"/>
    <w:link w:val="9"/>
    <w:qFormat/>
    <w:uiPriority w:val="99"/>
    <w:rPr>
      <w:sz w:val="18"/>
      <w:szCs w:val="18"/>
    </w:rPr>
  </w:style>
  <w:style w:type="character" w:customStyle="1" w:styleId="15">
    <w:name w:val="页脚 Char"/>
    <w:basedOn w:val="13"/>
    <w:link w:val="8"/>
    <w:qFormat/>
    <w:uiPriority w:val="99"/>
    <w:rPr>
      <w:sz w:val="18"/>
      <w:szCs w:val="18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批注框文本 Char"/>
    <w:basedOn w:val="13"/>
    <w:link w:val="7"/>
    <w:semiHidden/>
    <w:qFormat/>
    <w:uiPriority w:val="99"/>
    <w:rPr>
      <w:sz w:val="18"/>
      <w:szCs w:val="18"/>
    </w:rPr>
  </w:style>
  <w:style w:type="character" w:customStyle="1" w:styleId="19">
    <w:name w:val="font0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2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1">
    <w:name w:val="font1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5973</Words>
  <Characters>6454</Characters>
  <Lines>63</Lines>
  <Paragraphs>18</Paragraphs>
  <TotalTime>2</TotalTime>
  <ScaleCrop>false</ScaleCrop>
  <LinksUpToDate>false</LinksUpToDate>
  <CharactersWithSpaces>6478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2020-07-11T18:32:00Z</dcterms:created>
  <dc:creator>李航 null</dc:creator>
  <cp:lastModifiedBy>王木木</cp:lastModifiedBy>
  <cp:lastPrinted>2024-08-12T02:20:00Z</cp:lastPrinted>
  <dcterms:modified xsi:type="dcterms:W3CDTF">2025-09-24T03:38:42Z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98623D6660B449428EB8E073C6C952EA</vt:lpwstr>
  </property>
  <property fmtid="{D5CDD505-2E9C-101B-9397-08002B2CF9AE}" pid="4" name="KSOTemplateDocerSaveRecord">
    <vt:lpwstr>eyJoZGlkIjoiZTIwYjE2NzhkNDM2Y2Y5NzI2YzFkODFmZGY5MzM4MWUiLCJ1c2VySWQiOiIyMDc1NzM5OTgifQ==</vt:lpwstr>
  </property>
</Properties>
</file>