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18EEB">
      <w:pPr>
        <w:jc w:val="center"/>
        <w:rPr>
          <w:rFonts w:hint="eastAsia" w:ascii="宋体" w:hAnsi="宋体" w:eastAsia="宋体" w:cs="宋体"/>
          <w:b/>
          <w:bCs/>
          <w:sz w:val="44"/>
          <w:szCs w:val="44"/>
        </w:rPr>
      </w:pPr>
      <w:bookmarkStart w:id="0" w:name="_GoBack"/>
      <w:bookmarkEnd w:id="0"/>
    </w:p>
    <w:p w14:paraId="79E8F582">
      <w:pPr>
        <w:jc w:val="center"/>
        <w:rPr>
          <w:rFonts w:hint="eastAsia" w:ascii="宋体" w:hAnsi="宋体" w:eastAsia="宋体" w:cs="宋体"/>
          <w:b/>
          <w:bCs/>
          <w:sz w:val="44"/>
          <w:szCs w:val="44"/>
        </w:rPr>
      </w:pPr>
    </w:p>
    <w:p w14:paraId="3656E865">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default" w:ascii="宋体" w:hAnsi="宋体" w:cs="宋体"/>
          <w:b/>
          <w:bCs/>
          <w:sz w:val="44"/>
          <w:szCs w:val="44"/>
          <w:lang w:val="en"/>
        </w:rPr>
        <w:t>4</w:t>
      </w:r>
      <w:r>
        <w:rPr>
          <w:rFonts w:hint="eastAsia" w:ascii="宋体" w:hAnsi="宋体" w:eastAsia="宋体" w:cs="宋体"/>
          <w:b/>
          <w:bCs/>
          <w:sz w:val="44"/>
          <w:szCs w:val="44"/>
        </w:rPr>
        <w:t>年度</w:t>
      </w:r>
      <w:r>
        <w:rPr>
          <w:rFonts w:hint="eastAsia" w:ascii="宋体" w:hAnsi="宋体" w:eastAsia="宋体" w:cs="宋体"/>
          <w:b/>
          <w:bCs/>
          <w:color w:val="auto"/>
          <w:sz w:val="44"/>
          <w:szCs w:val="44"/>
        </w:rPr>
        <w:t>岳阳市城市管理综合行政执法支队站场执法大队</w:t>
      </w:r>
      <w:r>
        <w:rPr>
          <w:rFonts w:hint="eastAsia" w:ascii="宋体" w:hAnsi="宋体" w:eastAsia="宋体" w:cs="宋体"/>
          <w:b/>
          <w:bCs/>
          <w:sz w:val="44"/>
          <w:szCs w:val="44"/>
        </w:rPr>
        <w:t>整体支出绩效自评报告</w:t>
      </w:r>
    </w:p>
    <w:p w14:paraId="7E89A07E">
      <w:pPr>
        <w:jc w:val="center"/>
        <w:rPr>
          <w:rFonts w:hint="eastAsia" w:ascii="宋体" w:hAnsi="宋体" w:eastAsia="宋体" w:cs="宋体"/>
          <w:b/>
          <w:sz w:val="52"/>
          <w:szCs w:val="52"/>
        </w:rPr>
      </w:pPr>
    </w:p>
    <w:p w14:paraId="2D9ECC05">
      <w:pPr>
        <w:jc w:val="center"/>
        <w:rPr>
          <w:rFonts w:hint="default" w:ascii="Times New Roman" w:hAnsi="Times New Roman" w:eastAsia="楷体_GB2312" w:cs="Times New Roman"/>
          <w:b/>
          <w:sz w:val="32"/>
          <w:szCs w:val="32"/>
        </w:rPr>
      </w:pPr>
    </w:p>
    <w:p w14:paraId="0A9002DC">
      <w:pPr>
        <w:jc w:val="center"/>
        <w:rPr>
          <w:rFonts w:hint="default" w:ascii="Times New Roman" w:hAnsi="Times New Roman" w:eastAsia="楷体_GB2312" w:cs="Times New Roman"/>
          <w:b/>
          <w:sz w:val="32"/>
          <w:szCs w:val="32"/>
        </w:rPr>
      </w:pPr>
    </w:p>
    <w:p w14:paraId="76428564">
      <w:pPr>
        <w:jc w:val="center"/>
        <w:rPr>
          <w:rFonts w:hint="default" w:ascii="Times New Roman" w:hAnsi="Times New Roman" w:eastAsia="楷体_GB2312" w:cs="Times New Roman"/>
          <w:b/>
          <w:sz w:val="32"/>
          <w:szCs w:val="32"/>
        </w:rPr>
      </w:pPr>
    </w:p>
    <w:p w14:paraId="5CEBE2EA">
      <w:pPr>
        <w:jc w:val="center"/>
        <w:rPr>
          <w:rFonts w:hint="default" w:ascii="Times New Roman" w:hAnsi="Times New Roman" w:eastAsia="楷体_GB2312" w:cs="Times New Roman"/>
          <w:b/>
          <w:sz w:val="32"/>
          <w:szCs w:val="32"/>
        </w:rPr>
      </w:pPr>
    </w:p>
    <w:p w14:paraId="108A126D">
      <w:pPr>
        <w:jc w:val="center"/>
        <w:rPr>
          <w:rFonts w:hint="default" w:ascii="Times New Roman" w:hAnsi="Times New Roman" w:eastAsia="楷体_GB2312" w:cs="Times New Roman"/>
          <w:b/>
          <w:sz w:val="32"/>
          <w:szCs w:val="32"/>
        </w:rPr>
      </w:pPr>
    </w:p>
    <w:p w14:paraId="299EA1AE">
      <w:pPr>
        <w:jc w:val="both"/>
        <w:rPr>
          <w:rFonts w:hint="default" w:ascii="Times New Roman" w:hAnsi="Times New Roman" w:eastAsia="黑体" w:cs="Times New Roman"/>
          <w:sz w:val="32"/>
          <w:szCs w:val="32"/>
        </w:rPr>
      </w:pPr>
    </w:p>
    <w:p w14:paraId="3DE5FAEA">
      <w:pPr>
        <w:jc w:val="center"/>
        <w:rPr>
          <w:rFonts w:hint="default" w:ascii="Times New Roman" w:hAnsi="Times New Roman" w:eastAsia="黑体" w:cs="Times New Roman"/>
          <w:sz w:val="32"/>
          <w:szCs w:val="32"/>
        </w:rPr>
      </w:pPr>
    </w:p>
    <w:p w14:paraId="58500D12">
      <w:pPr>
        <w:spacing w:line="600" w:lineRule="exact"/>
        <w:jc w:val="center"/>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auto"/>
          <w:sz w:val="32"/>
          <w:szCs w:val="32"/>
          <w:u w:val="single"/>
        </w:rPr>
        <w:t>岳阳市城市管理综合行政执法支队站场执法大队</w:t>
      </w:r>
    </w:p>
    <w:p w14:paraId="5097F610">
      <w:pPr>
        <w:spacing w:line="600" w:lineRule="exact"/>
        <w:jc w:val="center"/>
        <w:rPr>
          <w:rFonts w:hint="eastAsia" w:asciiTheme="majorEastAsia" w:hAnsiTheme="majorEastAsia" w:eastAsiaTheme="majorEastAsia" w:cstheme="majorEastAsia"/>
          <w:b/>
          <w:bCs/>
          <w:sz w:val="32"/>
          <w:szCs w:val="32"/>
          <w:lang w:val="en-US" w:eastAsia="zh-CN"/>
        </w:rPr>
      </w:pPr>
    </w:p>
    <w:p w14:paraId="1920B0EB">
      <w:pPr>
        <w:spacing w:line="600" w:lineRule="exact"/>
        <w:jc w:val="center"/>
        <w:rPr>
          <w:rFonts w:hint="default" w:ascii="Times New Roman" w:hAnsi="Times New Roman" w:eastAsia="楷体_GB2312" w:cs="Times New Roman"/>
          <w:sz w:val="32"/>
          <w:szCs w:val="32"/>
        </w:rPr>
      </w:pPr>
      <w:r>
        <w:rPr>
          <w:rFonts w:hint="eastAsia" w:asciiTheme="majorEastAsia" w:hAnsiTheme="majorEastAsia" w:eastAsiaTheme="majorEastAsia" w:cstheme="majorEastAsia"/>
          <w:b/>
          <w:bCs/>
          <w:sz w:val="32"/>
          <w:szCs w:val="32"/>
          <w:lang w:val="en-US" w:eastAsia="zh-CN"/>
        </w:rPr>
        <w:t>202</w:t>
      </w:r>
      <w:r>
        <w:rPr>
          <w:rFonts w:hint="default" w:asciiTheme="majorEastAsia" w:hAnsiTheme="majorEastAsia" w:eastAsiaTheme="majorEastAsia" w:cstheme="majorEastAsia"/>
          <w:b/>
          <w:bCs/>
          <w:sz w:val="32"/>
          <w:szCs w:val="32"/>
          <w:lang w:val="en" w:eastAsia="zh-CN"/>
        </w:rPr>
        <w:t>5</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w:t>
      </w:r>
      <w:r>
        <w:rPr>
          <w:rFonts w:hint="default" w:asciiTheme="majorEastAsia" w:hAnsiTheme="majorEastAsia" w:eastAsiaTheme="majorEastAsia" w:cstheme="majorEastAsia"/>
          <w:b/>
          <w:bCs/>
          <w:sz w:val="32"/>
          <w:szCs w:val="32"/>
          <w:lang w:val="en" w:eastAsia="zh-CN"/>
        </w:rPr>
        <w:t>0</w:t>
      </w:r>
      <w:r>
        <w:rPr>
          <w:rFonts w:hint="eastAsia" w:asciiTheme="majorEastAsia" w:hAnsiTheme="majorEastAsia" w:eastAsiaTheme="majorEastAsia" w:cstheme="majorEastAsia"/>
          <w:b/>
          <w:bCs/>
          <w:sz w:val="32"/>
          <w:szCs w:val="32"/>
        </w:rPr>
        <w:t>日</w:t>
      </w:r>
    </w:p>
    <w:p w14:paraId="16B3C498">
      <w:pPr>
        <w:jc w:val="center"/>
        <w:rPr>
          <w:rFonts w:hint="default" w:ascii="Times New Roman" w:hAnsi="Times New Roman" w:eastAsia="仿宋_GB2312" w:cs="Times New Roman"/>
          <w:sz w:val="32"/>
          <w:szCs w:val="32"/>
        </w:rPr>
      </w:pPr>
    </w:p>
    <w:p w14:paraId="78EEFABD">
      <w:pPr>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14:paraId="6EF3B091">
      <w:pPr>
        <w:jc w:val="center"/>
        <w:rPr>
          <w:rFonts w:hint="eastAsia" w:ascii="方正小标宋简体" w:hAnsi="方正小标宋简体" w:eastAsia="方正小标宋简体" w:cs="方正小标宋简体"/>
          <w:b w:val="0"/>
          <w:bCs w:val="0"/>
          <w:sz w:val="44"/>
          <w:szCs w:val="44"/>
        </w:rPr>
      </w:pPr>
    </w:p>
    <w:p w14:paraId="3C8D77F3">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
        </w:rPr>
        <w:t>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color w:val="auto"/>
          <w:sz w:val="44"/>
          <w:szCs w:val="44"/>
        </w:rPr>
        <w:t>岳阳市城市管理综合行政执法支队站场执法大队</w:t>
      </w:r>
      <w:r>
        <w:rPr>
          <w:rFonts w:hint="eastAsia" w:ascii="方正小标宋简体" w:hAnsi="方正小标宋简体" w:eastAsia="方正小标宋简体" w:cs="方正小标宋简体"/>
          <w:b w:val="0"/>
          <w:bCs w:val="0"/>
          <w:sz w:val="44"/>
          <w:szCs w:val="44"/>
        </w:rPr>
        <w:t>整体支出绩效自评报告</w:t>
      </w:r>
    </w:p>
    <w:p w14:paraId="09634F4E">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14:paraId="3D93E708">
      <w:pPr>
        <w:keepNext w:val="0"/>
        <w:keepLines w:val="0"/>
        <w:pageBreakBefore w:val="0"/>
        <w:numPr>
          <w:ilvl w:val="0"/>
          <w:numId w:val="0"/>
        </w:numPr>
        <w:kinsoku/>
        <w:wordWrap/>
        <w:overflowPunct/>
        <w:topLinePunct w:val="0"/>
        <w:autoSpaceDE/>
        <w:autoSpaceDN/>
        <w:bidi w:val="0"/>
        <w:adjustRightInd/>
        <w:snapToGrid/>
        <w:spacing w:line="600" w:lineRule="exact"/>
        <w:ind w:left="840" w:leftChars="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单位基本情况</w:t>
      </w:r>
    </w:p>
    <w:p w14:paraId="01E907F7">
      <w:pPr>
        <w:keepNext w:val="0"/>
        <w:keepLines w:val="0"/>
        <w:pageBreakBefore w:val="0"/>
        <w:widowControl/>
        <w:kinsoku/>
        <w:wordWrap/>
        <w:overflowPunct/>
        <w:topLinePunct w:val="0"/>
        <w:bidi w:val="0"/>
        <w:adjustRightInd/>
        <w:snapToGrid/>
        <w:spacing w:line="60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14:paraId="36C1BFAF">
      <w:pPr>
        <w:keepNext w:val="0"/>
        <w:keepLines w:val="0"/>
        <w:pageBreakBefore w:val="0"/>
        <w:widowControl/>
        <w:wordWrap/>
        <w:overflowPunct/>
        <w:topLinePunct w:val="0"/>
        <w:bidi w:val="0"/>
        <w:spacing w:line="60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负责岳阳火车站、岳阳火车东站地区的综合管理、行政执法的综合协调和监督工作，在辖区开展综合执法并行使相对集中行政处罚权，具体行使市容环境卫生、市政、城市绿化、规划、环境保护、公安交通、工商行政、交通运输、物价、食品安全、文化市场等部分职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负责协调相关部门依法对辖区的社会治安和道路交通等实施管理，协调行政许可机关办理涉及市容环境、市政园林、道路运输等行政审批事项，对可能影响岳阳火车站地区管理秩序的，在审核批准前提出意见，以及协助市春运办做好岳阳火车站、岳阳火车东站春运工作，拟订并组织实施岳阳火车站地区应急预案。</w:t>
      </w:r>
    </w:p>
    <w:p w14:paraId="03BC921F">
      <w:pPr>
        <w:pStyle w:val="2"/>
        <w:keepNext w:val="0"/>
        <w:keepLines w:val="0"/>
        <w:pageBreakBefore w:val="0"/>
        <w:wordWrap/>
        <w:overflowPunct/>
        <w:topLinePunct w:val="0"/>
        <w:bidi w:val="0"/>
        <w:spacing w:line="600" w:lineRule="exact"/>
        <w:rPr>
          <w:rFonts w:hint="default" w:eastAsia="仿宋_GB2312"/>
          <w:sz w:val="32"/>
          <w:szCs w:val="32"/>
          <w:lang w:val="en-US" w:eastAsia="zh-CN"/>
        </w:rPr>
      </w:pPr>
      <w:r>
        <w:rPr>
          <w:rFonts w:hint="eastAsia" w:ascii="仿宋_GB2312" w:hAnsi="仿宋_GB2312" w:eastAsia="仿宋_GB2312" w:cs="仿宋_GB2312"/>
          <w:color w:val="FF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2024年9月，</w:t>
      </w:r>
      <w:r>
        <w:rPr>
          <w:rFonts w:hint="eastAsia" w:ascii="仿宋_GB2312" w:hAnsi="仿宋_GB2312" w:eastAsia="仿宋_GB2312" w:cs="仿宋_GB2312"/>
          <w:color w:val="FF000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机构改革划入职能：承担金凤桥管理处、通海路管理处、木里港管理处辖区范围内城管综合行政执法工作。</w:t>
      </w:r>
    </w:p>
    <w:p w14:paraId="52840BCC">
      <w:pPr>
        <w:keepNext w:val="0"/>
        <w:keepLines w:val="0"/>
        <w:pageBreakBefore w:val="0"/>
        <w:widowControl/>
        <w:kinsoku/>
        <w:wordWrap/>
        <w:overflowPunct/>
        <w:topLinePunct w:val="0"/>
        <w:bidi w:val="0"/>
        <w:adjustRightInd/>
        <w:snapToGrid/>
        <w:spacing w:line="60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kern w:val="0"/>
          <w:sz w:val="32"/>
          <w:szCs w:val="32"/>
        </w:rPr>
        <w:t>（二）机构设置</w:t>
      </w:r>
    </w:p>
    <w:p w14:paraId="7561ED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我单位为</w:t>
      </w:r>
      <w:r>
        <w:rPr>
          <w:rFonts w:hint="eastAsia" w:ascii="CESI仿宋-GB2312" w:hAnsi="CESI仿宋-GB2312" w:eastAsia="CESI仿宋-GB2312" w:cs="CESI仿宋-GB2312"/>
          <w:b w:val="0"/>
          <w:bCs w:val="0"/>
          <w:color w:val="auto"/>
          <w:sz w:val="32"/>
          <w:szCs w:val="32"/>
        </w:rPr>
        <w:t>岳阳市城市管理综合行政执法支队</w:t>
      </w:r>
      <w:r>
        <w:rPr>
          <w:rFonts w:hint="eastAsia" w:ascii="仿宋_GB2312" w:hAnsi="仿宋_GB2312" w:eastAsia="仿宋_GB2312" w:cs="仿宋_GB2312"/>
          <w:kern w:val="0"/>
          <w:sz w:val="32"/>
          <w:szCs w:val="32"/>
          <w:lang w:val="en-US" w:eastAsia="zh-CN"/>
        </w:rPr>
        <w:t>直属</w:t>
      </w:r>
      <w:r>
        <w:rPr>
          <w:rFonts w:hint="eastAsia" w:ascii="仿宋_GB2312" w:hAnsi="仿宋_GB2312" w:eastAsia="仿宋_GB2312" w:cs="仿宋_GB2312"/>
          <w:kern w:val="0"/>
          <w:sz w:val="32"/>
          <w:szCs w:val="32"/>
        </w:rPr>
        <w:t>公益一类事业单位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现有人员编制</w:t>
      </w:r>
      <w:r>
        <w:rPr>
          <w:rFonts w:hint="eastAsia" w:ascii="仿宋_GB2312" w:hAnsi="仿宋_GB2312" w:eastAsia="仿宋_GB2312" w:cs="仿宋_GB2312"/>
          <w:kern w:val="0"/>
          <w:sz w:val="32"/>
          <w:szCs w:val="32"/>
          <w:lang w:val="en-US" w:eastAsia="zh-CN"/>
        </w:rPr>
        <w:t>79人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rPr>
        <w:t>内设综合</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、财务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、人事</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、法</w:t>
      </w:r>
      <w:r>
        <w:rPr>
          <w:rFonts w:hint="eastAsia" w:ascii="仿宋_GB2312" w:hAnsi="仿宋_GB2312" w:eastAsia="仿宋_GB2312" w:cs="仿宋_GB2312"/>
          <w:sz w:val="32"/>
          <w:szCs w:val="32"/>
          <w:lang w:val="en-US" w:eastAsia="zh-CN"/>
        </w:rPr>
        <w:t>制股</w:t>
      </w:r>
      <w:r>
        <w:rPr>
          <w:rFonts w:hint="eastAsia" w:ascii="仿宋_GB2312" w:hAnsi="仿宋_GB2312" w:eastAsia="仿宋_GB2312" w:cs="仿宋_GB2312"/>
          <w:sz w:val="32"/>
          <w:szCs w:val="32"/>
          <w:lang w:val="en-US"/>
        </w:rPr>
        <w:t>和</w:t>
      </w:r>
      <w:r>
        <w:rPr>
          <w:rFonts w:hint="eastAsia" w:ascii="仿宋_GB2312" w:hAnsi="仿宋_GB2312" w:eastAsia="仿宋_GB2312" w:cs="仿宋_GB2312"/>
          <w:sz w:val="32"/>
          <w:szCs w:val="32"/>
          <w:lang w:val="en-US" w:eastAsia="zh-CN"/>
        </w:rPr>
        <w:t>执法协调股5</w:t>
      </w:r>
      <w:r>
        <w:rPr>
          <w:rFonts w:hint="eastAsia" w:ascii="仿宋_GB2312" w:hAnsi="仿宋_GB2312" w:eastAsia="仿宋_GB2312" w:cs="仿宋_GB2312"/>
          <w:sz w:val="32"/>
          <w:szCs w:val="32"/>
          <w:lang w:val="en-US"/>
        </w:rPr>
        <w:t>个职能</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US"/>
        </w:rPr>
        <w:t>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下设</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个分支机构：</w:t>
      </w:r>
      <w:r>
        <w:rPr>
          <w:rFonts w:hint="eastAsia" w:ascii="仿宋_GB2312" w:hAnsi="仿宋_GB2312" w:eastAsia="仿宋_GB2312" w:cs="仿宋_GB2312"/>
          <w:kern w:val="0"/>
          <w:sz w:val="32"/>
          <w:szCs w:val="32"/>
          <w:lang w:eastAsia="zh-CN"/>
        </w:rPr>
        <w:t>东站中</w:t>
      </w:r>
      <w:r>
        <w:rPr>
          <w:rFonts w:hint="eastAsia" w:ascii="仿宋_GB2312" w:hAnsi="仿宋_GB2312" w:eastAsia="仿宋_GB2312" w:cs="仿宋_GB2312"/>
          <w:kern w:val="0"/>
          <w:sz w:val="32"/>
          <w:szCs w:val="32"/>
        </w:rPr>
        <w:t>队、</w:t>
      </w:r>
      <w:r>
        <w:rPr>
          <w:rFonts w:hint="eastAsia" w:ascii="仿宋_GB2312" w:hAnsi="仿宋_GB2312" w:eastAsia="仿宋_GB2312" w:cs="仿宋_GB2312"/>
          <w:kern w:val="0"/>
          <w:sz w:val="32"/>
          <w:szCs w:val="32"/>
          <w:lang w:eastAsia="zh-CN"/>
        </w:rPr>
        <w:t>火车站中</w:t>
      </w:r>
      <w:r>
        <w:rPr>
          <w:rFonts w:hint="eastAsia" w:ascii="仿宋_GB2312" w:hAnsi="仿宋_GB2312" w:eastAsia="仿宋_GB2312" w:cs="仿宋_GB2312"/>
          <w:kern w:val="0"/>
          <w:sz w:val="32"/>
          <w:szCs w:val="32"/>
        </w:rPr>
        <w:t>队、</w:t>
      </w:r>
      <w:r>
        <w:rPr>
          <w:rFonts w:hint="eastAsia" w:ascii="仿宋_GB2312" w:hAnsi="仿宋_GB2312" w:eastAsia="仿宋_GB2312" w:cs="仿宋_GB2312"/>
          <w:kern w:val="0"/>
          <w:sz w:val="32"/>
          <w:szCs w:val="32"/>
          <w:lang w:eastAsia="zh-CN"/>
        </w:rPr>
        <w:t>通海路中</w:t>
      </w:r>
      <w:r>
        <w:rPr>
          <w:rFonts w:hint="eastAsia" w:ascii="仿宋_GB2312" w:hAnsi="仿宋_GB2312" w:eastAsia="仿宋_GB2312" w:cs="仿宋_GB2312"/>
          <w:kern w:val="0"/>
          <w:sz w:val="32"/>
          <w:szCs w:val="32"/>
        </w:rPr>
        <w:t>队</w:t>
      </w:r>
      <w:r>
        <w:rPr>
          <w:rFonts w:hint="eastAsia" w:ascii="仿宋_GB2312" w:hAnsi="仿宋_GB2312" w:eastAsia="仿宋_GB2312" w:cs="仿宋_GB2312"/>
          <w:kern w:val="0"/>
          <w:sz w:val="32"/>
          <w:szCs w:val="32"/>
          <w:lang w:eastAsia="zh-CN"/>
        </w:rPr>
        <w:t>、金凤桥中队、木里港中队、机动应急中队</w:t>
      </w:r>
      <w:r>
        <w:rPr>
          <w:rFonts w:hint="eastAsia" w:ascii="仿宋_GB2312" w:hAnsi="仿宋_GB2312" w:eastAsia="仿宋_GB2312" w:cs="仿宋_GB2312"/>
          <w:kern w:val="0"/>
          <w:sz w:val="32"/>
          <w:szCs w:val="32"/>
        </w:rPr>
        <w:t>。</w:t>
      </w:r>
    </w:p>
    <w:p w14:paraId="53A9ACEF">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761CB471">
      <w:pPr>
        <w:pStyle w:val="1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
          <w:sz w:val="32"/>
          <w:szCs w:val="32"/>
        </w:rPr>
        <w:t>（一）基本支出情况</w:t>
      </w:r>
    </w:p>
    <w:p w14:paraId="6C632B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w:t>
      </w:r>
      <w:r>
        <w:rPr>
          <w:rFonts w:hint="default" w:ascii="仿宋_GB2312" w:hAnsi="仿宋_GB2312" w:eastAsia="仿宋_GB2312" w:cs="仿宋_GB2312"/>
          <w:bCs/>
          <w:sz w:val="32"/>
          <w:szCs w:val="32"/>
          <w:lang w:val="en"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总额为10</w:t>
      </w:r>
      <w:r>
        <w:rPr>
          <w:rFonts w:hint="default" w:ascii="仿宋_GB2312" w:hAnsi="仿宋_GB2312" w:eastAsia="仿宋_GB2312" w:cs="仿宋_GB2312"/>
          <w:bCs/>
          <w:sz w:val="32"/>
          <w:szCs w:val="32"/>
          <w:lang w:val="en" w:eastAsia="zh-CN"/>
        </w:rPr>
        <w:t>72.04</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973.08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职工基本工资、津补贴、绩效工资及社会保险缴费等支出。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98.96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物业费、差旅费、维修（护）费、租赁费、培训费、公务接待费、劳务费、委托业务费、工会经费、公务用车运行费、其他交通费用、其他商品和服务支出等单位运转费用支出。</w:t>
      </w:r>
    </w:p>
    <w:p w14:paraId="08AAD5E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0.50万元，实际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color w:val="auto"/>
          <w:sz w:val="32"/>
          <w:szCs w:val="32"/>
          <w:lang w:val="en-US" w:eastAsia="zh-CN"/>
        </w:rPr>
        <w:t>9.00万元（其中公车购置预算0万元），</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实际支出8.11</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w:t>
      </w:r>
      <w:r>
        <w:rPr>
          <w:rFonts w:hint="eastAsia" w:ascii="仿宋_GB2312" w:hAnsi="仿宋_GB2312" w:eastAsia="仿宋_GB2312" w:cs="仿宋_GB2312"/>
          <w:bCs/>
          <w:sz w:val="32"/>
          <w:szCs w:val="32"/>
          <w:lang w:eastAsia="zh-CN"/>
        </w:rPr>
        <w:t>费”支出</w:t>
      </w:r>
      <w:r>
        <w:rPr>
          <w:rFonts w:hint="eastAsia" w:ascii="仿宋_GB2312" w:hAnsi="仿宋_GB2312" w:eastAsia="仿宋_GB2312" w:cs="仿宋_GB2312"/>
          <w:bCs/>
          <w:sz w:val="32"/>
          <w:szCs w:val="32"/>
          <w:lang w:val="en-US" w:eastAsia="zh-CN"/>
        </w:rPr>
        <w:t>总额为8.11万元，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14:paraId="130139BE">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项目支出情况</w:t>
      </w:r>
    </w:p>
    <w:p w14:paraId="1772BE8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金额为359.6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（含上</w:t>
      </w:r>
      <w:r>
        <w:rPr>
          <w:rFonts w:hint="eastAsia" w:ascii="仿宋_GB2312" w:hAnsi="仿宋_GB2312" w:eastAsia="仿宋_GB2312" w:cs="仿宋_GB2312"/>
          <w:bCs/>
          <w:sz w:val="32"/>
          <w:szCs w:val="32"/>
          <w:lang w:val="en-US" w:eastAsia="zh-CN"/>
        </w:rPr>
        <w:t>年结转专项资金16.10万元），年中项目支出预算金额调整为564.04万元。</w:t>
      </w: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bCs/>
          <w:sz w:val="32"/>
          <w:szCs w:val="32"/>
          <w:lang w:val="en-US" w:eastAsia="zh-CN"/>
        </w:rPr>
        <w:t>总额为555.53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sz w:val="32"/>
          <w:szCs w:val="32"/>
        </w:rPr>
        <w:t>城管事务经费</w:t>
      </w:r>
      <w:r>
        <w:rPr>
          <w:rFonts w:hint="eastAsia" w:ascii="仿宋_GB2312" w:hAnsi="仿宋_GB2312" w:eastAsia="仿宋_GB2312" w:cs="仿宋_GB2312"/>
          <w:sz w:val="32"/>
          <w:szCs w:val="32"/>
          <w:lang w:val="en-US" w:eastAsia="zh-CN"/>
        </w:rPr>
        <w:t>支出244.65万元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城市广场运营维护费</w:t>
      </w:r>
      <w:r>
        <w:rPr>
          <w:rFonts w:hint="eastAsia" w:ascii="仿宋_GB2312" w:hAnsi="仿宋_GB2312" w:eastAsia="仿宋_GB2312" w:cs="仿宋_GB2312"/>
          <w:sz w:val="32"/>
          <w:szCs w:val="32"/>
          <w:lang w:val="en-US" w:eastAsia="zh-CN"/>
        </w:rPr>
        <w:t>支出66.50万元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协管员经费</w:t>
      </w:r>
      <w:r>
        <w:rPr>
          <w:rFonts w:hint="eastAsia" w:ascii="仿宋_GB2312" w:hAnsi="仿宋_GB2312" w:eastAsia="仿宋_GB2312" w:cs="仿宋_GB2312"/>
          <w:sz w:val="32"/>
          <w:szCs w:val="32"/>
          <w:lang w:val="en-US" w:eastAsia="zh-CN"/>
        </w:rPr>
        <w:t>支出176.78万元</w:t>
      </w:r>
      <w:r>
        <w:rPr>
          <w:rFonts w:hint="eastAsia" w:ascii="仿宋_GB2312" w:hAnsi="仿宋_GB2312" w:eastAsia="仿宋_GB2312" w:cs="仿宋_GB2312"/>
          <w:sz w:val="32"/>
          <w:szCs w:val="32"/>
          <w:lang w:eastAsia="zh-CN"/>
        </w:rPr>
        <w:t>、办案费</w:t>
      </w:r>
      <w:r>
        <w:rPr>
          <w:rFonts w:hint="eastAsia" w:ascii="仿宋_GB2312" w:hAnsi="仿宋_GB2312" w:eastAsia="仿宋_GB2312" w:cs="仿宋_GB2312"/>
          <w:sz w:val="32"/>
          <w:szCs w:val="32"/>
          <w:lang w:val="en-US" w:eastAsia="zh-CN"/>
        </w:rPr>
        <w:t>32.25万元、其他运转类业务工作经费35.35万元，保障了岳阳火车站地区和岳阳火车东站地区执法执勤、综合整治、广场设施设备维护及运行、两站广场绿化、</w:t>
      </w:r>
      <w:r>
        <w:rPr>
          <w:rFonts w:hint="eastAsia" w:ascii="仿宋_GB2312" w:hAnsi="仿宋_GB2312" w:eastAsia="仿宋_GB2312" w:cs="仿宋_GB2312"/>
          <w:bCs/>
          <w:sz w:val="32"/>
          <w:szCs w:val="32"/>
        </w:rPr>
        <w:t>春运</w:t>
      </w:r>
      <w:r>
        <w:rPr>
          <w:rFonts w:hint="eastAsia" w:ascii="仿宋_GB2312" w:hAnsi="仿宋_GB2312" w:eastAsia="仿宋_GB2312" w:cs="仿宋_GB2312"/>
          <w:bCs/>
          <w:sz w:val="32"/>
          <w:szCs w:val="32"/>
          <w:lang w:val="en-US" w:eastAsia="zh-CN"/>
        </w:rPr>
        <w:t>秩序</w:t>
      </w:r>
      <w:r>
        <w:rPr>
          <w:rFonts w:hint="eastAsia" w:ascii="仿宋_GB2312" w:hAnsi="仿宋_GB2312" w:eastAsia="仿宋_GB2312" w:cs="仿宋_GB2312"/>
          <w:bCs/>
          <w:sz w:val="32"/>
          <w:szCs w:val="32"/>
        </w:rPr>
        <w:t>管理</w:t>
      </w:r>
      <w:r>
        <w:rPr>
          <w:rFonts w:hint="eastAsia" w:ascii="仿宋_GB2312" w:hAnsi="仿宋_GB2312" w:eastAsia="仿宋_GB2312" w:cs="仿宋_GB2312"/>
          <w:bCs/>
          <w:sz w:val="32"/>
          <w:szCs w:val="32"/>
          <w:lang w:eastAsia="zh-CN"/>
        </w:rPr>
        <w:t>，以及</w:t>
      </w:r>
      <w:r>
        <w:rPr>
          <w:rFonts w:hint="eastAsia" w:ascii="仿宋_GB2312" w:hAnsi="仿宋_GB2312" w:eastAsia="仿宋_GB2312" w:cs="仿宋_GB2312"/>
          <w:color w:val="auto"/>
          <w:kern w:val="0"/>
          <w:sz w:val="32"/>
          <w:szCs w:val="32"/>
          <w:lang w:val="en-US" w:eastAsia="zh-CN"/>
        </w:rPr>
        <w:t>金凤桥管理处、通海路管理处、木里港管理处辖区范围内城管综合行政执法</w:t>
      </w:r>
      <w:r>
        <w:rPr>
          <w:rFonts w:hint="eastAsia" w:ascii="仿宋_GB2312" w:hAnsi="仿宋_GB2312" w:eastAsia="仿宋_GB2312" w:cs="仿宋_GB2312"/>
          <w:bCs/>
          <w:sz w:val="32"/>
          <w:szCs w:val="32"/>
          <w:lang w:val="en-US" w:eastAsia="zh-CN"/>
        </w:rPr>
        <w:t>等工作顺利实施。</w:t>
      </w:r>
    </w:p>
    <w:p w14:paraId="6002AE0E">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14:paraId="4345B339">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14:paraId="0C136100">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部门整体支出绩效情况</w:t>
      </w:r>
    </w:p>
    <w:p w14:paraId="00892DB4">
      <w:pPr>
        <w:pStyle w:val="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年度绩效目标及完成情况</w:t>
      </w:r>
    </w:p>
    <w:p w14:paraId="0B3BF915">
      <w:pPr>
        <w:keepNext w:val="0"/>
        <w:keepLines w:val="0"/>
        <w:pageBreakBefore w:val="0"/>
        <w:widowControl/>
        <w:kinsoku/>
        <w:wordWrap/>
        <w:overflowPunct/>
        <w:topLinePunct w:val="0"/>
        <w:autoSpaceDE/>
        <w:autoSpaceDN/>
        <w:bidi w:val="0"/>
        <w:adjustRightInd/>
        <w:snapToGrid/>
        <w:spacing w:line="60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认真贯彻、执行国家和地方关于综合行政执法的政策、法规；</w:t>
      </w:r>
    </w:p>
    <w:p w14:paraId="76A8ACA7">
      <w:pPr>
        <w:keepNext w:val="0"/>
        <w:keepLines w:val="0"/>
        <w:pageBreakBefore w:val="0"/>
        <w:widowControl/>
        <w:kinsoku/>
        <w:wordWrap/>
        <w:overflowPunct/>
        <w:topLinePunct w:val="0"/>
        <w:autoSpaceDE/>
        <w:autoSpaceDN/>
        <w:bidi w:val="0"/>
        <w:adjustRightInd/>
        <w:snapToGrid/>
        <w:spacing w:line="60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依法实施行政处罚，加强两站辖区内非法营运打击力度、规范两站辖区内的经营秩序和整顿管理等工作，协助市春运办做好一年一度的岳阳火车站、岳阳火车东站的春运工作；</w:t>
      </w:r>
    </w:p>
    <w:p w14:paraId="3F579B33">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为我市打造环境优美、秩序井然、干净整洁的窗口环境。　　</w:t>
      </w:r>
    </w:p>
    <w:p w14:paraId="16DB8721">
      <w:pPr>
        <w:pStyle w:val="2"/>
        <w:keepNext w:val="0"/>
        <w:keepLines w:val="0"/>
        <w:pageBreakBefore w:val="0"/>
        <w:wordWrap/>
        <w:overflowPunct/>
        <w:topLinePunct w:val="0"/>
        <w:bidi w:val="0"/>
        <w:spacing w:line="600" w:lineRule="exact"/>
        <w:ind w:firstLine="964" w:firstLineChars="300"/>
        <w:rPr>
          <w:rFonts w:hint="eastAsia"/>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w:t>
      </w:r>
    </w:p>
    <w:p w14:paraId="2C9320A9">
      <w:pPr>
        <w:keepNext w:val="0"/>
        <w:keepLines w:val="0"/>
        <w:pageBreakBefore w:val="0"/>
        <w:widowControl/>
        <w:kinsoku/>
        <w:wordWrap/>
        <w:overflowPunct/>
        <w:topLinePunct w:val="0"/>
        <w:autoSpaceDE/>
        <w:autoSpaceDN/>
        <w:bidi w:val="0"/>
        <w:adjustRightInd/>
        <w:snapToGrid/>
        <w:spacing w:line="60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完成情况：在岳阳火车站地区</w:t>
      </w:r>
      <w:r>
        <w:rPr>
          <w:rFonts w:hint="eastAsia" w:ascii="仿宋_GB2312" w:hAnsi="仿宋_GB2312" w:eastAsia="仿宋_GB2312" w:cs="仿宋_GB2312"/>
          <w:color w:val="000000"/>
          <w:sz w:val="32"/>
          <w:szCs w:val="32"/>
          <w:highlight w:val="none"/>
        </w:rPr>
        <w:t>认真贯彻、执行国家和地方关于综合行政执法的政策、法规</w:t>
      </w:r>
      <w:r>
        <w:rPr>
          <w:rFonts w:hint="eastAsia" w:ascii="仿宋_GB2312" w:hAnsi="仿宋_GB2312" w:eastAsia="仿宋_GB2312" w:cs="仿宋_GB2312"/>
          <w:color w:val="000000"/>
          <w:sz w:val="32"/>
          <w:szCs w:val="32"/>
          <w:highlight w:val="none"/>
          <w:lang w:eastAsia="zh-CN"/>
        </w:rPr>
        <w:t>，取得了良好的效果</w:t>
      </w:r>
      <w:r>
        <w:rPr>
          <w:rFonts w:hint="eastAsia" w:ascii="仿宋_GB2312" w:hAnsi="仿宋_GB2312" w:eastAsia="仿宋_GB2312" w:cs="仿宋_GB2312"/>
          <w:color w:val="000000"/>
          <w:sz w:val="32"/>
          <w:szCs w:val="32"/>
          <w:highlight w:val="none"/>
        </w:rPr>
        <w:t>；</w:t>
      </w:r>
    </w:p>
    <w:p w14:paraId="0DA993E1">
      <w:pPr>
        <w:keepNext w:val="0"/>
        <w:keepLines w:val="0"/>
        <w:pageBreakBefore w:val="0"/>
        <w:widowControl/>
        <w:kinsoku/>
        <w:wordWrap/>
        <w:overflowPunct/>
        <w:topLinePunct w:val="0"/>
        <w:autoSpaceDE/>
        <w:autoSpaceDN/>
        <w:bidi w:val="0"/>
        <w:adjustRightInd/>
        <w:snapToGrid/>
        <w:spacing w:line="60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依法实施行政处罚，加强</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两站辖区内非法营运打击力度</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两站辖区内的经营秩序</w:t>
      </w:r>
      <w:r>
        <w:rPr>
          <w:rFonts w:hint="eastAsia" w:ascii="仿宋_GB2312" w:hAnsi="仿宋_GB2312" w:eastAsia="仿宋_GB2312" w:cs="仿宋_GB2312"/>
          <w:color w:val="000000"/>
          <w:sz w:val="32"/>
          <w:szCs w:val="32"/>
          <w:highlight w:val="none"/>
          <w:lang w:eastAsia="zh-CN"/>
        </w:rPr>
        <w:t>进行了</w:t>
      </w:r>
      <w:r>
        <w:rPr>
          <w:rFonts w:hint="eastAsia" w:ascii="仿宋_GB2312" w:hAnsi="仿宋_GB2312" w:eastAsia="仿宋_GB2312" w:cs="仿宋_GB2312"/>
          <w:color w:val="000000"/>
          <w:sz w:val="32"/>
          <w:szCs w:val="32"/>
          <w:highlight w:val="none"/>
        </w:rPr>
        <w:t>整顿管理等工作，协助市春运办做好</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一年一度的岳阳火车站、岳阳火车东站的春运工作；</w:t>
      </w:r>
    </w:p>
    <w:p w14:paraId="187EB5EF">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为我市打造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环境优美、秩序井然、干净整洁的窗口环境。</w:t>
      </w:r>
    </w:p>
    <w:p w14:paraId="2A22CAE6">
      <w:pPr>
        <w:keepNext w:val="0"/>
        <w:keepLines w:val="0"/>
        <w:pageBreakBefore w:val="0"/>
        <w:wordWrap/>
        <w:overflowPunct/>
        <w:topLinePunct w:val="0"/>
        <w:bidi w:val="0"/>
        <w:spacing w:after="120" w:afterLines="50" w:line="600" w:lineRule="exact"/>
        <w:ind w:firstLine="643" w:firstLineChars="200"/>
        <w:jc w:val="both"/>
        <w:rPr>
          <w:rFonts w:hint="eastAsia" w:ascii="黑体" w:hAnsi="黑体" w:eastAsia="黑体" w:cs="黑体"/>
          <w:sz w:val="32"/>
          <w:szCs w:val="32"/>
          <w:highlight w:val="none"/>
          <w:lang w:eastAsia="zh-CN"/>
        </w:rPr>
      </w:pPr>
      <w:r>
        <w:rPr>
          <w:rFonts w:hint="eastAsia" w:ascii="楷体_GB2312" w:hAnsi="楷体_GB2312" w:eastAsia="楷体_GB2312" w:cs="楷体_GB2312"/>
          <w:b/>
          <w:bCs/>
          <w:color w:val="auto"/>
          <w:kern w:val="0"/>
          <w:sz w:val="32"/>
          <w:szCs w:val="32"/>
          <w:lang w:val="en-US" w:eastAsia="zh-CN"/>
        </w:rPr>
        <w:t>（二）实现产出和取得效益情况</w:t>
      </w:r>
    </w:p>
    <w:p w14:paraId="5161270C">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2024年，在市城管局的正确领导和支队的关心指导下，站场执法大队紧紧围绕打造“七个岳阳”美好蓝图，加快推进“六大城管”建设，紧密结合工作实际，在“打牢基础、服务基层、创新方法”上下功夫，进一步开拓思路，强化责任，狠抓落实，较好地完成了全年各项工作任务，着力为推动城市高质量发展贡献城管执法力量</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spacing w:val="6"/>
          <w:sz w:val="32"/>
          <w:szCs w:val="32"/>
        </w:rPr>
        <w:t>具体情况如下：</w:t>
      </w:r>
    </w:p>
    <w:p w14:paraId="4DA6AFA1">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 1、宣传有力，文明意识不断提高</w:t>
      </w:r>
    </w:p>
    <w:p w14:paraId="1A419965">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一是印发通告和宣传资料。通过印发整治通告，发放《门店经营规范告知书》、《专项整治“十乱”、文明城市你我共创》和《致渣土运输车司机朋友们的一封信》千余份，大力开展宣传活动。二是设立咨询台。设立咨询点，现场接受群众咨询，将城管法律法规以及相关政策归纳提炼，制成通俗易懂的宣传彩册予以发放。三是多渠道宣传。通过报纸、电视、网络、电子屏、宣传标语等方式进行宣传教育，广泛宣传城市管理方面的好人好事，新规定新做法新理念，确立城市管理工作的主流宣传导向。四是强化宣传成效。积极开展“五进”宣传教育活动，通过“进学校、进工地、进社区、进企业、进机关”，与业务相关部门、管理服务对象和社会各界面对面交流，耐心讲解城市管理相关知识，认真倾听他们对城市管理方面的意见建议，努力营造“人民城市人民管,管好城市为人民”的良好氛围。</w:t>
      </w:r>
    </w:p>
    <w:p w14:paraId="45C3A137">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2、有效作为，专项治理深入开展</w:t>
      </w:r>
    </w:p>
    <w:p w14:paraId="0104FF17">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1）春运暑运高效保障。全力做好春运、暑运、清明、五一等多个重大节假日客流高峰期间的站场秩序保障、客流有序疏散等工作，重点针对喊客拉客、非法营运、出租车违规经营、乱停车辆等行为开展专项整治，大力践行“721”工作法，依托出站口“爱心驿站”和各值班岗亭竭诚为出行旅客提供志愿服务，特别是全年应对铁路部门在凌晨开行的“红眼列车”近百余趟次，接驳疏散旅客近20万人次，确保旅客出行安全顺畅舒适。</w:t>
      </w:r>
    </w:p>
    <w:p w14:paraId="0A620EB3">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喊客拉客强力整治。11月27日，四部门联合印发《岳阳市火车站地区交通运输打非治违专项整治行动方案》，开始为期一百天的以整治喊客拉客、非法营运、出租车（网约车）违规经营等行为重点的联合执法工作。期间召开联席会议6次、拘留喊客拉客违法人员2人、采集喊客拉客违法人员证据22份、查处各类违法车辆36台、刊发法制宣传教育公告4处、设置客运引导标识标牌24处，各执法部门群策群力协同协作，将责任压实到执法人员，将压力传导到客运企业，高站位、多措施、严纪律推进各项工作，高质量完成了整治行动方案明确的各项目标任务，喊客拉客现象得到极大遏制。</w:t>
      </w:r>
    </w:p>
    <w:p w14:paraId="2D84B54A">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3）全力应对灾害天气。今年2月，岳阳市经历多轮低温雨雪冰冻灾害天气，站场执法大队迅速响应、高效应对，召开工作部署会，成立多个应急分队，储备大量应急物资，组织大型机械车辆，迅速对辖区车站、道路、公园、广场、小区等开展铲雪、撒盐、清扫作业，投入人力2000余人次，动用装载机50余台次，投用融雪剂60余吨，迅速抢通主次干道，保障了人民群众的正常生产生活秩序。大队在清理大量断树残枝后，为解决后期“消化”问题，引进大型粉碎机对断枝残枝进行就地处置，不仅节约了巨额的转运费和处理费，节省了转运时间，粉碎后的木屑还可做天然有机肥料，做到了节约环保、一举多得。</w:t>
      </w:r>
    </w:p>
    <w:p w14:paraId="532C82B8">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4）市容环境持续提升。积极履行职能，确保市容市貌持续提升。一是加强日常街面巡查。在茶山菜市场、翠碧山庄疏导点等重点路段和十五中、十九中等学校周边重点区域实行定点管理和机动巡查相结合，错时执勤与重点打击相结合，强化街面秩序整治。二是开展各类专项整治。围绕节假日、CBA季前赛等重大活动加强市容秩序保障工作，在辖区开展市容综合整治行动。5-7月，针对“十乱”现象开展专项整治行动，通过动员部署、调查摸底、集中整治、巩固提高四阶段的工作，辖区“十乱”现象有了明显改善，主次干道市容秩序得到有效提升。三是综合整治扬尘渣土。加强建设工程施工现场扬尘治理，要求未拖运渣土和建筑垃圾百分百覆盖、喷淋设施设备百分百启用。联合交警部门开展和渣土车专项整治行动，严厉查处渣土车运输过程中未覆盖、随意“滴洒漏”污染路面、影响交通安全等违法行为。四是停车管理卓有成效。对辖区50余个收费停车场业主单位、用地性质、物价批文等情况深入摸排，为</w:t>
      </w:r>
      <w:r>
        <w:rPr>
          <w:rFonts w:hint="eastAsia" w:ascii="CESI仿宋-GB2312" w:hAnsi="CESI仿宋-GB2312" w:eastAsia="CESI仿宋-GB2312" w:cs="CESI仿宋-GB2312"/>
          <w:spacing w:val="6"/>
          <w:sz w:val="32"/>
          <w:szCs w:val="32"/>
          <w:lang w:eastAsia="zh-CN"/>
        </w:rPr>
        <w:t>加强</w:t>
      </w:r>
      <w:r>
        <w:rPr>
          <w:rFonts w:hint="eastAsia" w:ascii="CESI仿宋-GB2312" w:hAnsi="CESI仿宋-GB2312" w:eastAsia="CESI仿宋-GB2312" w:cs="CESI仿宋-GB2312"/>
          <w:spacing w:val="6"/>
          <w:sz w:val="32"/>
          <w:szCs w:val="32"/>
        </w:rPr>
        <w:t>城区停车</w:t>
      </w:r>
      <w:r>
        <w:rPr>
          <w:rFonts w:hint="eastAsia" w:ascii="CESI仿宋-GB2312" w:hAnsi="CESI仿宋-GB2312" w:eastAsia="CESI仿宋-GB2312" w:cs="CESI仿宋-GB2312"/>
          <w:spacing w:val="6"/>
          <w:sz w:val="32"/>
          <w:szCs w:val="32"/>
          <w:lang w:eastAsia="zh-CN"/>
        </w:rPr>
        <w:t>秩序管理</w:t>
      </w:r>
      <w:r>
        <w:rPr>
          <w:rFonts w:hint="eastAsia" w:ascii="CESI仿宋-GB2312" w:hAnsi="CESI仿宋-GB2312" w:eastAsia="CESI仿宋-GB2312" w:cs="CESI仿宋-GB2312"/>
          <w:spacing w:val="6"/>
          <w:sz w:val="32"/>
          <w:szCs w:val="32"/>
        </w:rPr>
        <w:t>夯实基础。对占压盲道、“僵尸车”等违法行为强化整治，</w:t>
      </w:r>
      <w:r>
        <w:rPr>
          <w:rFonts w:hint="eastAsia" w:ascii="CESI仿宋-GB2312" w:hAnsi="CESI仿宋-GB2312" w:eastAsia="CESI仿宋-GB2312" w:cs="CESI仿宋-GB2312"/>
          <w:spacing w:val="6"/>
          <w:sz w:val="32"/>
          <w:szCs w:val="32"/>
          <w:lang w:eastAsia="zh-CN"/>
        </w:rPr>
        <w:t>对</w:t>
      </w:r>
      <w:r>
        <w:rPr>
          <w:rFonts w:hint="eastAsia" w:ascii="CESI仿宋-GB2312" w:hAnsi="CESI仿宋-GB2312" w:eastAsia="CESI仿宋-GB2312" w:cs="CESI仿宋-GB2312"/>
          <w:spacing w:val="6"/>
          <w:sz w:val="32"/>
          <w:szCs w:val="32"/>
        </w:rPr>
        <w:t>占压盲道</w:t>
      </w:r>
      <w:r>
        <w:rPr>
          <w:rFonts w:hint="eastAsia" w:ascii="CESI仿宋-GB2312" w:hAnsi="CESI仿宋-GB2312" w:eastAsia="CESI仿宋-GB2312" w:cs="CESI仿宋-GB2312"/>
          <w:spacing w:val="6"/>
          <w:sz w:val="32"/>
          <w:szCs w:val="32"/>
          <w:lang w:eastAsia="zh-CN"/>
        </w:rPr>
        <w:t>车辆进行劝离或</w:t>
      </w:r>
      <w:r>
        <w:rPr>
          <w:rFonts w:hint="eastAsia" w:ascii="CESI仿宋-GB2312" w:hAnsi="CESI仿宋-GB2312" w:eastAsia="CESI仿宋-GB2312" w:cs="CESI仿宋-GB2312"/>
          <w:spacing w:val="6"/>
          <w:sz w:val="32"/>
          <w:szCs w:val="32"/>
        </w:rPr>
        <w:t>抄牌</w:t>
      </w:r>
      <w:r>
        <w:rPr>
          <w:rFonts w:hint="eastAsia" w:ascii="CESI仿宋-GB2312" w:hAnsi="CESI仿宋-GB2312" w:eastAsia="CESI仿宋-GB2312" w:cs="CESI仿宋-GB2312"/>
          <w:spacing w:val="6"/>
          <w:sz w:val="32"/>
          <w:szCs w:val="32"/>
          <w:lang w:eastAsia="zh-CN"/>
        </w:rPr>
        <w:t>处置</w:t>
      </w:r>
      <w:r>
        <w:rPr>
          <w:rFonts w:hint="eastAsia" w:ascii="CESI仿宋-GB2312" w:hAnsi="CESI仿宋-GB2312" w:eastAsia="CESI仿宋-GB2312" w:cs="CESI仿宋-GB2312"/>
          <w:spacing w:val="6"/>
          <w:sz w:val="32"/>
          <w:szCs w:val="32"/>
        </w:rPr>
        <w:t>，拖移“僵尸车”和阻碍车辆和行人通行车辆300余台次。五是禁炮工作扎实开展。压实社区禁炮工作责任，春节前广泛在辖区大力开展禁售禁燃宣传。根据往年规律科学研判，加强对中南市场等贩售烟花爆竹较为集中地点的巡查值守，加强对商户的安全教育提示。在炮情较为突出的年三十和元宵等时间节点重点巡查，劝导和制止中心城区企事业单位、居民燃放烟花爆竹50余起。六是餐饮油烟防治和垃圾分类工作有序推进。结合环保督察要求，广泛对辖区餐饮门店、食品企业、单位食堂等开展宣传，要求餐饮门店特别是夜宵门店百分百装置油烟净化设备并确保正常使用；要求经营单位产生的厨余垃圾不得随意倾倒下水道，必须交由有资质的单位科学分类处置。</w:t>
      </w:r>
    </w:p>
    <w:p w14:paraId="1A05EE27">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3、凝心聚力，队伍建设扎实有效</w:t>
      </w:r>
    </w:p>
    <w:p w14:paraId="0BD24D5C">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1）强化依法行政，执法体制机制全面完善。一是完善规范执法流程。重新整理《行政执法程序流程图》，细化《行政处罚自由裁量适用标准》，制定《执法过错责任追究办法》，从制度层面预防权力滥用，提高执法水平。二是提高依法执法水平。采取季度考评、日常督察等形式对各中队执法文书使用、填写及送达等方面进行检查，规范各中队行政执法办案程序，提高行政执法业务质量和水平。</w:t>
      </w:r>
    </w:p>
    <w:p w14:paraId="3D6F260B">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pacing w:val="6"/>
          <w:sz w:val="32"/>
          <w:szCs w:val="32"/>
        </w:rPr>
      </w:pPr>
      <w:r>
        <w:rPr>
          <w:rFonts w:hint="eastAsia" w:ascii="CESI仿宋-GB2312" w:hAnsi="CESI仿宋-GB2312" w:eastAsia="CESI仿宋-GB2312" w:cs="CESI仿宋-GB2312"/>
          <w:spacing w:val="6"/>
          <w:sz w:val="32"/>
          <w:szCs w:val="32"/>
        </w:rPr>
        <w:t>（2）加强内部管理，执法队伍形象全面提升。一是全面落实岗位责任制。二是强化督查考核工作。三是重抓队伍能力培训。</w:t>
      </w:r>
    </w:p>
    <w:p w14:paraId="3A4D04D9">
      <w:pPr>
        <w:keepNext w:val="0"/>
        <w:keepLines w:val="0"/>
        <w:pageBreakBefore w:val="0"/>
        <w:wordWrap/>
        <w:overflowPunct/>
        <w:topLinePunct w:val="0"/>
        <w:bidi w:val="0"/>
        <w:spacing w:before="120" w:beforeLines="50" w:line="600" w:lineRule="exact"/>
        <w:ind w:left="20" w:leftChars="7" w:right="11" w:firstLine="664"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pacing w:val="6"/>
          <w:sz w:val="32"/>
          <w:szCs w:val="32"/>
        </w:rPr>
        <w:t>（3）注重多措并举，党建工作全面加强。一是坚持党建引领，发挥党组织战斗堡垒作用。二是强化廉政防控体系，营造风清气正良好氛围。三是加强廉政文化建设，筑牢拒腐防变思想防线。</w:t>
      </w:r>
    </w:p>
    <w:p w14:paraId="02CF67D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7" w:firstLineChars="200"/>
        <w:jc w:val="both"/>
        <w:textAlignment w:val="baseline"/>
        <w:rPr>
          <w:rFonts w:hint="eastAsia" w:eastAsia="仿宋" w:cs="仿宋"/>
          <w:b/>
          <w:bCs/>
          <w:spacing w:val="6"/>
          <w:kern w:val="0"/>
          <w:sz w:val="32"/>
          <w:szCs w:val="32"/>
          <w:lang w:val="en-US" w:eastAsia="zh-CN"/>
        </w:rPr>
      </w:pPr>
      <w:r>
        <w:rPr>
          <w:rFonts w:hint="eastAsia" w:eastAsia="仿宋" w:cs="仿宋"/>
          <w:b/>
          <w:bCs/>
          <w:spacing w:val="6"/>
          <w:kern w:val="0"/>
          <w:sz w:val="32"/>
          <w:szCs w:val="32"/>
          <w:lang w:val="en-US" w:eastAsia="zh-CN"/>
        </w:rPr>
        <w:t>（三）预算资金管理情况</w:t>
      </w:r>
    </w:p>
    <w:p w14:paraId="663E5840">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w:t>
      </w:r>
      <w:r>
        <w:rPr>
          <w:rFonts w:hint="eastAsia" w:ascii="仿宋_GB2312" w:hAnsi="仿宋_GB2312" w:eastAsia="仿宋_GB2312" w:cs="仿宋_GB2312"/>
          <w:sz w:val="32"/>
          <w:szCs w:val="32"/>
          <w:lang w:val="en-US" w:eastAsia="zh-CN"/>
        </w:rPr>
        <w:t>《岳阳市财政局&lt;关于全面开展2024年度财政资金绩效运行跟踪监控的通知&gt;》（岳财发〔2024〕10号）和其他相关文件精神，大队成立了绩效评价及监督小组，定期开展相关工作。</w:t>
      </w:r>
    </w:p>
    <w:p w14:paraId="63C7B072">
      <w:pPr>
        <w:pStyle w:val="3"/>
        <w:keepNext w:val="0"/>
        <w:keepLines w:val="0"/>
        <w:pageBreakBefore w:val="0"/>
        <w:wordWrap/>
        <w:overflowPunct/>
        <w:topLinePunct w:val="0"/>
        <w:bidi w:val="0"/>
        <w:spacing w:line="60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14:paraId="197C1B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大队为加强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资金绩效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做到了预算有目标。于2024年10月底，组织开展了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工作，次年5 月中旬开始组织对上年经费支出进行自评工作，做到了</w:t>
      </w:r>
      <w:r>
        <w:rPr>
          <w:rFonts w:hint="eastAsia" w:ascii="仿宋_GB2312" w:hAnsi="仿宋_GB2312" w:eastAsia="仿宋_GB2312" w:cs="仿宋_GB2312"/>
          <w:spacing w:val="6"/>
          <w:kern w:val="0"/>
          <w:sz w:val="32"/>
          <w:szCs w:val="32"/>
        </w:rPr>
        <w:t>预算完成有评价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bCs/>
          <w:sz w:val="32"/>
          <w:szCs w:val="32"/>
          <w:highlight w:val="none"/>
          <w:lang w:val="en-US" w:eastAsia="zh-CN"/>
        </w:rPr>
        <w:t>由传统财务核算管理向项目质量管理转变、由专项资金日常财务管理向专项资金绩效管理的转变、由被动管理向制度管理转变，实现了“三个转变”，大大增强了大队管理人员预算意识和绩效意识，</w:t>
      </w:r>
      <w:r>
        <w:rPr>
          <w:rFonts w:hint="eastAsia" w:ascii="仿宋_GB2312" w:hAnsi="仿宋_GB2312" w:eastAsia="仿宋_GB2312" w:cs="仿宋_GB2312"/>
          <w:spacing w:val="6"/>
          <w:kern w:val="0"/>
          <w:sz w:val="32"/>
          <w:szCs w:val="32"/>
          <w:lang w:val="en-US" w:eastAsia="zh-CN"/>
        </w:rPr>
        <w:t>资金支出效益不断提升</w:t>
      </w:r>
      <w:r>
        <w:rPr>
          <w:rFonts w:hint="eastAsia" w:ascii="仿宋_GB2312" w:hAnsi="仿宋_GB2312" w:eastAsia="仿宋_GB2312" w:cs="仿宋_GB2312"/>
          <w:spacing w:val="6"/>
          <w:kern w:val="0"/>
          <w:sz w:val="32"/>
          <w:szCs w:val="32"/>
          <w:lang w:eastAsia="zh-CN"/>
        </w:rPr>
        <w:t>。</w:t>
      </w:r>
    </w:p>
    <w:p w14:paraId="721FA467">
      <w:pPr>
        <w:pStyle w:val="2"/>
        <w:keepNext w:val="0"/>
        <w:keepLines w:val="0"/>
        <w:pageBreakBefore w:val="0"/>
        <w:wordWrap/>
        <w:overflowPunct/>
        <w:topLinePunct w:val="0"/>
        <w:bidi w:val="0"/>
        <w:spacing w:line="600" w:lineRule="exact"/>
        <w:jc w:val="both"/>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 xml:space="preserve">    2、费用支出管理情况</w:t>
      </w:r>
    </w:p>
    <w:p w14:paraId="18CF0A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加强内部控制管理，费用支出严格审批程序，</w:t>
      </w:r>
      <w:r>
        <w:rPr>
          <w:rFonts w:hint="eastAsia" w:ascii="仿宋_GB2312" w:hAnsi="仿宋_GB2312" w:eastAsia="仿宋_GB2312" w:cs="仿宋_GB2312"/>
          <w:spacing w:val="6"/>
          <w:kern w:val="0"/>
          <w:sz w:val="32"/>
          <w:szCs w:val="32"/>
        </w:rPr>
        <w:t>重大事项经班子会集体决策，费用支出归口管理，授权审批的财务管理制度。</w:t>
      </w:r>
      <w:r>
        <w:rPr>
          <w:rFonts w:hint="eastAsia" w:ascii="仿宋_GB2312" w:hAnsi="仿宋_GB2312" w:eastAsia="仿宋_GB2312" w:cs="仿宋_GB2312"/>
          <w:spacing w:val="6"/>
          <w:kern w:val="0"/>
          <w:sz w:val="32"/>
          <w:szCs w:val="32"/>
          <w:lang w:val="en-US" w:eastAsia="zh-CN"/>
        </w:rPr>
        <w:t>费用支出</w:t>
      </w:r>
      <w:r>
        <w:rPr>
          <w:rFonts w:hint="eastAsia" w:ascii="仿宋_GB2312" w:hAnsi="仿宋_GB2312" w:eastAsia="仿宋_GB2312" w:cs="仿宋_GB2312"/>
          <w:bCs/>
          <w:sz w:val="32"/>
          <w:szCs w:val="32"/>
          <w:highlight w:val="none"/>
          <w:lang w:val="en-US" w:eastAsia="zh-CN"/>
        </w:rPr>
        <w:t>按照"先报再审后用”的原则，由业务部门提出申请，部门分管领导签署意见，确认数量和预算资金额度，经财务部初审后，报分管财务领导审批后实施。</w:t>
      </w:r>
    </w:p>
    <w:p w14:paraId="0C473374">
      <w:pPr>
        <w:pStyle w:val="2"/>
        <w:keepNext w:val="0"/>
        <w:keepLines w:val="0"/>
        <w:pageBreakBefore w:val="0"/>
        <w:wordWrap/>
        <w:overflowPunct/>
        <w:topLinePunct w:val="0"/>
        <w:bidi w:val="0"/>
        <w:spacing w:line="600" w:lineRule="exact"/>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 xml:space="preserve">     3、资产管理情况</w:t>
      </w:r>
    </w:p>
    <w:p w14:paraId="13A8C688">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sz w:val="32"/>
          <w:szCs w:val="32"/>
          <w:lang w:val="en-US" w:eastAsia="zh-CN"/>
        </w:rPr>
        <w:t>大队定期开展资产清查工作，资产管理采取统一建帐、统一核算管理，对每件固定资产使用明确保管职责。按照厉行节约、物尽其用的原则，闲置资产由办公室统一调整，合理流动，发挥其效益。固定资产配置和处置，均按规定程序办理，并严格按固定资产管理相关规定进行核算及管理。2024年末，</w:t>
      </w:r>
      <w:r>
        <w:rPr>
          <w:rFonts w:hint="eastAsia" w:ascii="仿宋_GB2312" w:hAnsi="仿宋_GB2312" w:eastAsia="仿宋_GB2312" w:cs="仿宋_GB2312"/>
          <w:sz w:val="32"/>
          <w:szCs w:val="32"/>
        </w:rPr>
        <w:t>总资产为</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万元，流动资产为1.1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%，非流动资产为</w:t>
      </w:r>
      <w:r>
        <w:rPr>
          <w:rFonts w:hint="eastAsia" w:ascii="仿宋_GB2312" w:hAnsi="仿宋_GB2312" w:eastAsia="仿宋_GB2312" w:cs="仿宋_GB2312"/>
          <w:sz w:val="32"/>
          <w:szCs w:val="32"/>
          <w:lang w:val="en-US" w:eastAsia="zh-CN"/>
        </w:rPr>
        <w:t>40.54</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97.27</w:t>
      </w:r>
      <w:r>
        <w:rPr>
          <w:rFonts w:hint="eastAsia" w:ascii="仿宋_GB2312" w:hAnsi="仿宋_GB2312" w:eastAsia="仿宋_GB2312" w:cs="仿宋_GB2312"/>
          <w:sz w:val="32"/>
          <w:szCs w:val="32"/>
        </w:rPr>
        <w:t>%，负债为0万元，净资产为</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万元，占总资产的100%。</w:t>
      </w:r>
    </w:p>
    <w:p w14:paraId="68EA95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4、运行成本和管理效率</w:t>
      </w:r>
    </w:p>
    <w:p w14:paraId="221DE29D">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sz w:val="32"/>
          <w:szCs w:val="32"/>
          <w:lang w:val="en-US" w:eastAsia="zh-CN"/>
        </w:rPr>
      </w:pPr>
      <w:r>
        <w:rPr>
          <w:rFonts w:hint="eastAsia" w:ascii="仿宋_GB2312" w:hAnsi="仿宋_GB2312" w:eastAsia="仿宋_GB2312" w:cs="仿宋_GB2312"/>
          <w:sz w:val="32"/>
          <w:szCs w:val="32"/>
          <w:lang w:val="en-US" w:eastAsia="zh-CN"/>
        </w:rPr>
        <w:t>2024年，大队支出预算金额为1674.52万元，全为一般公共预算，实际支出金额为1627.57万元，其中基本支出1072.04万元、项目支出555.53万元，年度预算执行率为97.20%，单位运行成本控制在年度预算金额内，资金周转利用效率高，资金支出效益不断提升。</w:t>
      </w:r>
    </w:p>
    <w:p w14:paraId="3B463116">
      <w:pPr>
        <w:pStyle w:val="2"/>
        <w:keepNext w:val="0"/>
        <w:keepLines w:val="0"/>
        <w:pageBreakBefore w:val="0"/>
        <w:numPr>
          <w:ilvl w:val="0"/>
          <w:numId w:val="0"/>
        </w:numPr>
        <w:wordWrap/>
        <w:overflowPunct/>
        <w:topLinePunct w:val="0"/>
        <w:bidi w:val="0"/>
        <w:spacing w:line="600" w:lineRule="exact"/>
        <w:ind w:firstLine="640" w:firstLineChars="200"/>
        <w:jc w:val="left"/>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（四）履职效能、社会效应、可持续发展能力和服务对象满意度等方面情况</w:t>
      </w:r>
    </w:p>
    <w:p w14:paraId="5197212B">
      <w:pPr>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大队始终贯彻“以人民为中心”理念，联合交通执法支队、巡特警支队等相关职能部门，在火车站地区大力开展交通运输打非治违专项整治工作，喊客拉客现象得到有效遏制，站场管理秩序明显改善。同时，持续抓好便民服务，努力把火车站地区的“爱心驿站”打造成“劳动者港湾”、“歇脚地”、“暖心窝”，为社会公众提供便民、利民的多元服务设施，还设有旅游自助咨询机器人、“岳办岳好”自助政务服务终端、消杀机器人、血压测量仪、自助行李寄存、自助按摩椅等多项设施和服务，并配备了卫生间和母婴室，为过往旅客提供安全舒适的出行环境。</w:t>
      </w:r>
    </w:p>
    <w:p w14:paraId="4108B6A7">
      <w:pPr>
        <w:keepNext w:val="0"/>
        <w:keepLines w:val="0"/>
        <w:pageBreakBefore w:val="0"/>
        <w:wordWrap/>
        <w:overflowPunct/>
        <w:topLinePunct w:val="0"/>
        <w:bidi w:val="0"/>
        <w:spacing w:line="600" w:lineRule="exact"/>
        <w:ind w:firstLine="640" w:firstLineChars="200"/>
        <w:jc w:val="both"/>
        <w:rPr>
          <w:rFonts w:hint="eastAsia"/>
          <w:sz w:val="32"/>
          <w:szCs w:val="32"/>
          <w:lang w:val="en-US" w:eastAsia="zh-CN"/>
        </w:rPr>
      </w:pPr>
      <w:r>
        <w:rPr>
          <w:rFonts w:hint="eastAsia" w:ascii="仿宋_GB2312" w:hAnsi="仿宋_GB2312" w:eastAsia="仿宋_GB2312" w:cs="仿宋_GB2312"/>
          <w:color w:val="333333"/>
          <w:kern w:val="0"/>
          <w:sz w:val="32"/>
          <w:szCs w:val="32"/>
          <w:lang w:val="en-US" w:eastAsia="zh-CN" w:bidi="ar-SA"/>
        </w:rPr>
        <w:t>在机构改革划入管辖区域内积极履行职能，采取加强日常街面巡查与开展各类专项整治相结合的方式强化市容秩序管理，管辖范围内市容市貌明显改善。多措并举综合整治扬尘渣土和禁炮工作，为打赢“蓝天保卫战”奠定了基础，</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w:t>
      </w:r>
      <w:r>
        <w:rPr>
          <w:rFonts w:hint="eastAsia" w:ascii="仿宋_GB2312" w:hAnsi="仿宋_GB2312" w:eastAsia="仿宋_GB2312" w:cs="仿宋_GB2312"/>
          <w:kern w:val="0"/>
          <w:sz w:val="32"/>
          <w:szCs w:val="32"/>
          <w:lang w:eastAsia="zh-CN"/>
        </w:rPr>
        <w:t>市容</w:t>
      </w:r>
      <w:r>
        <w:rPr>
          <w:rFonts w:hint="eastAsia" w:ascii="仿宋_GB2312" w:hAnsi="仿宋_GB2312" w:eastAsia="仿宋_GB2312" w:cs="仿宋_GB2312"/>
          <w:kern w:val="0"/>
          <w:sz w:val="32"/>
          <w:szCs w:val="32"/>
        </w:rPr>
        <w:t>环境</w:t>
      </w:r>
      <w:r>
        <w:rPr>
          <w:rFonts w:hint="eastAsia" w:ascii="仿宋_GB2312" w:hAnsi="仿宋_GB2312" w:eastAsia="仿宋_GB2312" w:cs="仿宋_GB2312"/>
          <w:kern w:val="0"/>
          <w:sz w:val="32"/>
          <w:szCs w:val="32"/>
          <w:lang w:eastAsia="zh-CN"/>
        </w:rPr>
        <w:t>，得到了市民和过往旅客的普遍赞誉</w:t>
      </w:r>
      <w:r>
        <w:rPr>
          <w:rFonts w:hint="eastAsia" w:ascii="仿宋_GB2312" w:hAnsi="仿宋_GB2312" w:eastAsia="仿宋_GB2312" w:cs="仿宋_GB2312"/>
          <w:color w:val="333333"/>
          <w:kern w:val="0"/>
          <w:sz w:val="32"/>
          <w:szCs w:val="32"/>
          <w:lang w:val="en-US" w:eastAsia="zh-CN" w:bidi="ar-SA"/>
        </w:rPr>
        <w:t>。</w:t>
      </w:r>
    </w:p>
    <w:p w14:paraId="06681679">
      <w:pPr>
        <w:pStyle w:val="2"/>
        <w:keepNext w:val="0"/>
        <w:keepLines w:val="0"/>
        <w:pageBreakBefore w:val="0"/>
        <w:numPr>
          <w:ilvl w:val="0"/>
          <w:numId w:val="3"/>
        </w:numPr>
        <w:wordWrap/>
        <w:overflowPunct/>
        <w:topLinePunct w:val="0"/>
        <w:bidi w:val="0"/>
        <w:spacing w:line="600" w:lineRule="exact"/>
        <w:ind w:firstLine="688"/>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评价结论</w:t>
      </w:r>
    </w:p>
    <w:p w14:paraId="6132E8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大</w:t>
      </w:r>
      <w:r>
        <w:rPr>
          <w:rFonts w:hint="eastAsia" w:ascii="仿宋_GB2312" w:hAnsi="仿宋_GB2312" w:eastAsia="仿宋_GB2312" w:cs="仿宋_GB2312"/>
          <w:color w:val="000000"/>
          <w:sz w:val="32"/>
          <w:szCs w:val="32"/>
        </w:rPr>
        <w:t>队</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eastAsia="zh-CN"/>
        </w:rPr>
        <w:t>圆满完成了年度各项工作计划</w:t>
      </w:r>
      <w:r>
        <w:rPr>
          <w:rFonts w:hint="eastAsia" w:ascii="仿宋_GB2312" w:hAnsi="仿宋_GB2312" w:eastAsia="仿宋_GB2312" w:cs="仿宋_GB2312"/>
          <w:sz w:val="32"/>
          <w:szCs w:val="32"/>
        </w:rPr>
        <w:t>，预算成本控制较好，整体支出绩效良好，达到既定的目标要求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、标准和年初预算绩效目标进行了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6.7</w:t>
      </w:r>
      <w:r>
        <w:rPr>
          <w:rFonts w:hint="default"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具体评分见附件2），符合年初预算绩效目标要求</w:t>
      </w:r>
      <w:r>
        <w:rPr>
          <w:rFonts w:hint="eastAsia" w:ascii="仿宋_GB2312" w:hAnsi="仿宋_GB2312" w:eastAsia="仿宋_GB2312" w:cs="仿宋_GB2312"/>
          <w:sz w:val="32"/>
          <w:szCs w:val="32"/>
          <w:lang w:eastAsia="zh-CN"/>
        </w:rPr>
        <w:t>。</w:t>
      </w:r>
    </w:p>
    <w:p w14:paraId="53D46B39">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、存在的问题及原因分析</w:t>
      </w:r>
    </w:p>
    <w:p w14:paraId="616D92A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一）2024年度非税收入征收计划未完成，主要原因为非税收入预算编制不够准确，未充分分析单位工作实际情况。另外，大队加强了相关法律、法规的宣传教育，随着执法力度的加大，各类违法、违规案件明显减少，行政处罚案件数量减少，导致当年非税收入征收计划未完成。</w:t>
      </w:r>
    </w:p>
    <w:p w14:paraId="125B06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sz w:val="32"/>
          <w:szCs w:val="32"/>
          <w:lang w:val="en-US" w:eastAsia="zh-CN"/>
        </w:rPr>
        <w:t>预算绩效目标编制不够规范，</w:t>
      </w:r>
      <w:r>
        <w:rPr>
          <w:rFonts w:hint="eastAsia" w:ascii="CESI仿宋-GB2312" w:hAnsi="CESI仿宋-GB2312" w:eastAsia="CESI仿宋-GB2312" w:cs="CESI仿宋-GB2312"/>
          <w:sz w:val="32"/>
          <w:szCs w:val="32"/>
          <w:lang w:eastAsia="zh-CN"/>
        </w:rPr>
        <w:t>指标</w:t>
      </w:r>
      <w:r>
        <w:rPr>
          <w:rFonts w:hint="eastAsia" w:ascii="CESI仿宋-GB2312" w:hAnsi="CESI仿宋-GB2312" w:eastAsia="CESI仿宋-GB2312" w:cs="CESI仿宋-GB2312"/>
          <w:sz w:val="32"/>
          <w:szCs w:val="32"/>
          <w:lang w:val="en-US" w:eastAsia="zh-CN"/>
        </w:rPr>
        <w:t>关联细化程度有待进一步提升，</w:t>
      </w:r>
      <w:r>
        <w:rPr>
          <w:rFonts w:hint="eastAsia" w:ascii="CESI仿宋-GB2312" w:hAnsi="CESI仿宋-GB2312" w:eastAsia="CESI仿宋-GB2312" w:cs="CESI仿宋-GB2312"/>
          <w:sz w:val="32"/>
          <w:szCs w:val="32"/>
          <w:lang w:eastAsia="zh-CN"/>
        </w:rPr>
        <w:t>可衡量性不够强。</w:t>
      </w:r>
      <w:r>
        <w:rPr>
          <w:rFonts w:hint="eastAsia" w:ascii="CESI仿宋-GB2312" w:hAnsi="CESI仿宋-GB2312" w:eastAsia="CESI仿宋-GB2312" w:cs="CESI仿宋-GB2312"/>
          <w:sz w:val="32"/>
          <w:szCs w:val="32"/>
          <w:lang w:val="en-US" w:eastAsia="zh-CN"/>
        </w:rPr>
        <w:t>主要原因为</w:t>
      </w:r>
      <w:r>
        <w:rPr>
          <w:rFonts w:hint="eastAsia" w:ascii="CESI仿宋-GB2312" w:hAnsi="CESI仿宋-GB2312" w:eastAsia="CESI仿宋-GB2312" w:cs="CESI仿宋-GB2312"/>
          <w:sz w:val="32"/>
          <w:szCs w:val="32"/>
          <w:lang w:eastAsia="zh-CN"/>
        </w:rPr>
        <w:t>绩效管理</w:t>
      </w:r>
      <w:r>
        <w:rPr>
          <w:rFonts w:hint="eastAsia" w:ascii="CESI仿宋-GB2312" w:hAnsi="CESI仿宋-GB2312" w:eastAsia="CESI仿宋-GB2312" w:cs="CESI仿宋-GB2312"/>
          <w:sz w:val="32"/>
          <w:szCs w:val="32"/>
          <w:lang w:val="en-US" w:eastAsia="zh-CN"/>
        </w:rPr>
        <w:t>由财务部门兼任，</w:t>
      </w:r>
      <w:r>
        <w:rPr>
          <w:rFonts w:hint="eastAsia" w:ascii="CESI仿宋-GB2312" w:hAnsi="CESI仿宋-GB2312" w:eastAsia="CESI仿宋-GB2312" w:cs="CESI仿宋-GB2312"/>
          <w:sz w:val="32"/>
          <w:szCs w:val="32"/>
          <w:lang w:eastAsia="zh-CN"/>
        </w:rPr>
        <w:t>财务人员大多</w:t>
      </w:r>
      <w:r>
        <w:rPr>
          <w:rFonts w:hint="eastAsia" w:ascii="CESI仿宋-GB2312" w:hAnsi="CESI仿宋-GB2312" w:eastAsia="CESI仿宋-GB2312" w:cs="CESI仿宋-GB2312"/>
          <w:sz w:val="32"/>
          <w:szCs w:val="32"/>
          <w:lang w:val="en-US" w:eastAsia="zh-CN"/>
        </w:rPr>
        <w:t>为</w:t>
      </w:r>
      <w:r>
        <w:rPr>
          <w:rFonts w:hint="eastAsia" w:ascii="CESI仿宋-GB2312" w:hAnsi="CESI仿宋-GB2312" w:eastAsia="CESI仿宋-GB2312" w:cs="CESI仿宋-GB2312"/>
          <w:sz w:val="32"/>
          <w:szCs w:val="32"/>
          <w:lang w:eastAsia="zh-CN"/>
        </w:rPr>
        <w:t>会计、财务管理等专业，绩效</w:t>
      </w:r>
      <w:r>
        <w:rPr>
          <w:rFonts w:hint="eastAsia" w:ascii="CESI仿宋-GB2312" w:hAnsi="CESI仿宋-GB2312" w:eastAsia="CESI仿宋-GB2312" w:cs="CESI仿宋-GB2312"/>
          <w:sz w:val="32"/>
          <w:szCs w:val="32"/>
          <w:lang w:val="en-US" w:eastAsia="zh-CN"/>
        </w:rPr>
        <w:t>管理不但</w:t>
      </w:r>
      <w:r>
        <w:rPr>
          <w:rFonts w:hint="eastAsia" w:ascii="CESI仿宋-GB2312" w:hAnsi="CESI仿宋-GB2312" w:eastAsia="CESI仿宋-GB2312" w:cs="CESI仿宋-GB2312"/>
          <w:sz w:val="32"/>
          <w:szCs w:val="32"/>
          <w:lang w:eastAsia="zh-CN"/>
        </w:rPr>
        <w:t>需要掌握财经知识，还</w:t>
      </w:r>
      <w:r>
        <w:rPr>
          <w:rFonts w:hint="eastAsia" w:ascii="CESI仿宋-GB2312" w:hAnsi="CESI仿宋-GB2312" w:eastAsia="CESI仿宋-GB2312" w:cs="CESI仿宋-GB2312"/>
          <w:sz w:val="32"/>
          <w:szCs w:val="32"/>
          <w:lang w:val="en-US" w:eastAsia="zh-CN"/>
        </w:rPr>
        <w:t>需</w:t>
      </w:r>
      <w:r>
        <w:rPr>
          <w:rFonts w:hint="eastAsia" w:ascii="CESI仿宋-GB2312" w:hAnsi="CESI仿宋-GB2312" w:eastAsia="CESI仿宋-GB2312" w:cs="CESI仿宋-GB2312"/>
          <w:sz w:val="32"/>
          <w:szCs w:val="32"/>
          <w:lang w:eastAsia="zh-CN"/>
        </w:rPr>
        <w:t>熟悉相关政策、了解项目业务</w:t>
      </w:r>
      <w:r>
        <w:rPr>
          <w:rFonts w:hint="eastAsia" w:ascii="CESI仿宋-GB2312" w:hAnsi="CESI仿宋-GB2312" w:eastAsia="CESI仿宋-GB2312" w:cs="CESI仿宋-GB2312"/>
          <w:sz w:val="32"/>
          <w:szCs w:val="32"/>
          <w:lang w:val="en-US" w:eastAsia="zh-CN"/>
        </w:rPr>
        <w:t>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需要</w:t>
      </w:r>
      <w:r>
        <w:rPr>
          <w:rFonts w:hint="eastAsia" w:ascii="CESI仿宋-GB2312" w:hAnsi="CESI仿宋-GB2312" w:eastAsia="CESI仿宋-GB2312" w:cs="CESI仿宋-GB2312"/>
          <w:sz w:val="32"/>
          <w:szCs w:val="32"/>
          <w:lang w:eastAsia="zh-CN"/>
        </w:rPr>
        <w:t>具备管理学、法学、统计学、工程学等方面的知识，并</w:t>
      </w:r>
      <w:r>
        <w:rPr>
          <w:rFonts w:hint="eastAsia" w:ascii="CESI仿宋-GB2312" w:hAnsi="CESI仿宋-GB2312" w:eastAsia="CESI仿宋-GB2312" w:cs="CESI仿宋-GB2312"/>
          <w:sz w:val="32"/>
          <w:szCs w:val="32"/>
          <w:lang w:val="en-US" w:eastAsia="zh-CN"/>
        </w:rPr>
        <w:t>需要</w:t>
      </w:r>
      <w:r>
        <w:rPr>
          <w:rFonts w:hint="eastAsia" w:ascii="CESI仿宋-GB2312" w:hAnsi="CESI仿宋-GB2312" w:eastAsia="CESI仿宋-GB2312" w:cs="CESI仿宋-GB2312"/>
          <w:sz w:val="32"/>
          <w:szCs w:val="32"/>
          <w:lang w:eastAsia="zh-CN"/>
        </w:rPr>
        <w:t>持续更新知识体系</w:t>
      </w:r>
      <w:r>
        <w:rPr>
          <w:rFonts w:hint="eastAsia" w:ascii="CESI仿宋-GB2312" w:hAnsi="CESI仿宋-GB2312" w:eastAsia="CESI仿宋-GB2312" w:cs="CESI仿宋-GB2312"/>
          <w:sz w:val="32"/>
          <w:szCs w:val="32"/>
          <w:lang w:val="en-US" w:eastAsia="zh-CN"/>
        </w:rPr>
        <w:t>。</w:t>
      </w:r>
    </w:p>
    <w:p w14:paraId="6B62180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14:paraId="5990B88A">
      <w:pPr>
        <w:pStyle w:val="2"/>
        <w:keepNext w:val="0"/>
        <w:keepLines w:val="0"/>
        <w:pageBreakBefore w:val="0"/>
        <w:wordWrap/>
        <w:overflowPunct/>
        <w:topLinePunct w:val="0"/>
        <w:bidi w:val="0"/>
        <w:spacing w:line="600" w:lineRule="exact"/>
        <w:jc w:val="both"/>
        <w:rPr>
          <w:rFonts w:hint="eastAsia" w:ascii="CESI仿宋-GB2312" w:hAnsi="CESI仿宋-GB2312" w:eastAsia="CESI仿宋-GB2312" w:cs="CESI仿宋-GB2312"/>
          <w:color w:val="auto"/>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（一）加强单位部门间沟通，合理预计下年工作情况，提升非税收入征收计划精准度。</w:t>
      </w:r>
    </w:p>
    <w:p w14:paraId="24C0FB2E">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480" w:firstLineChars="15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FF0000"/>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b w:val="0"/>
          <w:bCs/>
          <w:color w:val="auto"/>
          <w:sz w:val="32"/>
          <w:szCs w:val="32"/>
          <w:shd w:val="clear" w:color="auto" w:fill="FFFFFF"/>
          <w:lang w:eastAsia="zh-CN"/>
        </w:rPr>
        <w:t>加快</w:t>
      </w:r>
      <w:r>
        <w:rPr>
          <w:rFonts w:hint="eastAsia" w:ascii="CESI仿宋-GB2312" w:hAnsi="CESI仿宋-GB2312" w:eastAsia="CESI仿宋-GB2312" w:cs="CESI仿宋-GB2312"/>
          <w:b w:val="0"/>
          <w:bCs/>
          <w:color w:val="auto"/>
          <w:sz w:val="32"/>
          <w:szCs w:val="32"/>
          <w:shd w:val="clear" w:color="auto" w:fill="FFFFFF"/>
          <w:lang w:val="en-US" w:eastAsia="zh-CN"/>
        </w:rPr>
        <w:t>人才</w:t>
      </w:r>
      <w:r>
        <w:rPr>
          <w:rFonts w:hint="eastAsia" w:ascii="CESI仿宋-GB2312" w:hAnsi="CESI仿宋-GB2312" w:eastAsia="CESI仿宋-GB2312" w:cs="CESI仿宋-GB2312"/>
          <w:b w:val="0"/>
          <w:bCs/>
          <w:color w:val="auto"/>
          <w:sz w:val="32"/>
          <w:szCs w:val="32"/>
          <w:shd w:val="clear" w:color="auto" w:fill="FFFFFF"/>
          <w:lang w:eastAsia="zh-CN"/>
        </w:rPr>
        <w:t>队伍建设，提</w:t>
      </w:r>
      <w:r>
        <w:rPr>
          <w:rFonts w:hint="eastAsia" w:ascii="CESI仿宋-GB2312" w:hAnsi="CESI仿宋-GB2312" w:eastAsia="CESI仿宋-GB2312" w:cs="CESI仿宋-GB2312"/>
          <w:b w:val="0"/>
          <w:bCs/>
          <w:color w:val="auto"/>
          <w:sz w:val="32"/>
          <w:szCs w:val="32"/>
          <w:shd w:val="clear" w:color="auto" w:fill="FFFFFF"/>
          <w:lang w:val="en-US" w:eastAsia="zh-CN"/>
        </w:rPr>
        <w:t>升绩效</w:t>
      </w:r>
      <w:r>
        <w:rPr>
          <w:rFonts w:hint="eastAsia" w:ascii="CESI仿宋-GB2312" w:hAnsi="CESI仿宋-GB2312" w:eastAsia="CESI仿宋-GB2312" w:cs="CESI仿宋-GB2312"/>
          <w:b w:val="0"/>
          <w:bCs/>
          <w:color w:val="auto"/>
          <w:sz w:val="32"/>
          <w:szCs w:val="32"/>
          <w:shd w:val="clear" w:color="auto" w:fill="FFFFFF"/>
          <w:lang w:eastAsia="zh-CN"/>
        </w:rPr>
        <w:t>管理人员专业水平。</w:t>
      </w:r>
      <w:r>
        <w:rPr>
          <w:rFonts w:hint="eastAsia" w:ascii="CESI仿宋-GB2312" w:hAnsi="CESI仿宋-GB2312" w:eastAsia="CESI仿宋-GB2312" w:cs="CESI仿宋-GB2312"/>
          <w:b w:val="0"/>
          <w:bCs/>
          <w:color w:val="000000"/>
          <w:sz w:val="32"/>
          <w:szCs w:val="32"/>
          <w:shd w:val="clear" w:color="auto" w:fill="FFFFFF"/>
          <w:lang w:val="en-US" w:eastAsia="zh-CN"/>
        </w:rPr>
        <w:t>引进专业</w:t>
      </w:r>
      <w:r>
        <w:rPr>
          <w:rFonts w:hint="eastAsia" w:ascii="CESI仿宋-GB2312" w:hAnsi="CESI仿宋-GB2312" w:eastAsia="CESI仿宋-GB2312" w:cs="CESI仿宋-GB2312"/>
          <w:b w:val="0"/>
          <w:bCs/>
          <w:color w:val="000000"/>
          <w:sz w:val="32"/>
          <w:szCs w:val="32"/>
          <w:shd w:val="clear" w:color="auto" w:fill="FFFFFF"/>
          <w:lang w:eastAsia="zh-CN"/>
        </w:rPr>
        <w:t>人</w:t>
      </w:r>
      <w:r>
        <w:rPr>
          <w:rFonts w:hint="eastAsia" w:ascii="CESI仿宋-GB2312" w:hAnsi="CESI仿宋-GB2312" w:eastAsia="CESI仿宋-GB2312" w:cs="CESI仿宋-GB2312"/>
          <w:b w:val="0"/>
          <w:bCs/>
          <w:color w:val="000000"/>
          <w:sz w:val="32"/>
          <w:szCs w:val="32"/>
          <w:shd w:val="clear" w:color="auto" w:fill="FFFFFF"/>
          <w:lang w:val="en-US" w:eastAsia="zh-CN"/>
        </w:rPr>
        <w:t>才</w:t>
      </w:r>
      <w:r>
        <w:rPr>
          <w:rFonts w:hint="eastAsia" w:ascii="CESI仿宋-GB2312" w:hAnsi="CESI仿宋-GB2312" w:eastAsia="CESI仿宋-GB2312" w:cs="CESI仿宋-GB2312"/>
          <w:b w:val="0"/>
          <w:bCs/>
          <w:color w:val="000000"/>
          <w:sz w:val="32"/>
          <w:szCs w:val="32"/>
          <w:shd w:val="clear" w:color="auto" w:fill="FFFFFF"/>
          <w:lang w:eastAsia="zh-CN"/>
        </w:rPr>
        <w:t>，</w:t>
      </w:r>
      <w:r>
        <w:rPr>
          <w:rFonts w:hint="eastAsia" w:ascii="CESI仿宋-GB2312" w:hAnsi="CESI仿宋-GB2312" w:eastAsia="CESI仿宋-GB2312" w:cs="CESI仿宋-GB2312"/>
          <w:b w:val="0"/>
          <w:bCs/>
          <w:color w:val="000000"/>
          <w:sz w:val="32"/>
          <w:szCs w:val="32"/>
          <w:shd w:val="clear" w:color="auto" w:fill="FFFFFF"/>
          <w:lang w:val="en-US" w:eastAsia="zh-CN"/>
        </w:rPr>
        <w:t>充实</w:t>
      </w:r>
      <w:r>
        <w:rPr>
          <w:rFonts w:hint="eastAsia" w:ascii="CESI仿宋-GB2312" w:hAnsi="CESI仿宋-GB2312" w:eastAsia="CESI仿宋-GB2312" w:cs="CESI仿宋-GB2312"/>
          <w:b w:val="0"/>
          <w:bCs/>
          <w:color w:val="000000"/>
          <w:sz w:val="32"/>
          <w:szCs w:val="32"/>
          <w:shd w:val="clear" w:color="auto" w:fill="FFFFFF"/>
          <w:lang w:eastAsia="zh-CN"/>
        </w:rPr>
        <w:t>绩效管理</w:t>
      </w:r>
      <w:r>
        <w:rPr>
          <w:rFonts w:hint="eastAsia" w:ascii="CESI仿宋-GB2312" w:hAnsi="CESI仿宋-GB2312" w:eastAsia="CESI仿宋-GB2312" w:cs="CESI仿宋-GB2312"/>
          <w:b w:val="0"/>
          <w:bCs/>
          <w:color w:val="000000"/>
          <w:sz w:val="32"/>
          <w:szCs w:val="32"/>
          <w:shd w:val="clear" w:color="auto" w:fill="FFFFFF"/>
          <w:lang w:val="en-US" w:eastAsia="zh-CN"/>
        </w:rPr>
        <w:t>人才队伍</w:t>
      </w:r>
      <w:r>
        <w:rPr>
          <w:rFonts w:hint="eastAsia" w:ascii="CESI仿宋-GB2312" w:hAnsi="CESI仿宋-GB2312" w:eastAsia="CESI仿宋-GB2312" w:cs="CESI仿宋-GB2312"/>
          <w:b w:val="0"/>
          <w:bCs/>
          <w:color w:val="000000"/>
          <w:sz w:val="32"/>
          <w:szCs w:val="32"/>
          <w:shd w:val="clear" w:color="auto" w:fill="FFFFFF"/>
          <w:lang w:eastAsia="zh-CN"/>
        </w:rPr>
        <w:t>，加强</w:t>
      </w:r>
      <w:r>
        <w:rPr>
          <w:rFonts w:hint="eastAsia" w:ascii="CESI仿宋-GB2312" w:hAnsi="CESI仿宋-GB2312" w:eastAsia="CESI仿宋-GB2312" w:cs="CESI仿宋-GB2312"/>
          <w:b w:val="0"/>
          <w:bCs/>
          <w:color w:val="000000"/>
          <w:sz w:val="32"/>
          <w:szCs w:val="32"/>
          <w:shd w:val="clear" w:color="auto" w:fill="FFFFFF"/>
          <w:lang w:val="en-US" w:eastAsia="zh-CN"/>
        </w:rPr>
        <w:t>业务培训，提升绩效管理人员综合素质</w:t>
      </w:r>
      <w:r>
        <w:rPr>
          <w:rFonts w:hint="eastAsia" w:ascii="CESI仿宋-GB2312" w:hAnsi="CESI仿宋-GB2312" w:eastAsia="CESI仿宋-GB2312" w:cs="CESI仿宋-GB2312"/>
          <w:color w:val="000000"/>
          <w:sz w:val="32"/>
          <w:szCs w:val="32"/>
          <w:shd w:val="clear" w:color="auto" w:fill="FFFFFF"/>
          <w:lang w:eastAsia="zh-CN"/>
        </w:rPr>
        <w:t>。</w:t>
      </w:r>
      <w:r>
        <w:rPr>
          <w:rFonts w:hint="eastAsia" w:ascii="CESI仿宋-GB2312" w:hAnsi="CESI仿宋-GB2312" w:eastAsia="CESI仿宋-GB2312" w:cs="CESI仿宋-GB2312"/>
          <w:b w:val="0"/>
          <w:bCs/>
          <w:color w:val="000000"/>
          <w:sz w:val="32"/>
          <w:szCs w:val="32"/>
          <w:shd w:val="clear" w:color="auto" w:fill="FFFFFF"/>
          <w:lang w:val="en-US" w:eastAsia="zh-CN"/>
        </w:rPr>
        <w:t>同时，加强部门间协作联动，</w:t>
      </w:r>
      <w:r>
        <w:rPr>
          <w:rFonts w:hint="eastAsia" w:ascii="CESI仿宋-GB2312" w:hAnsi="CESI仿宋-GB2312" w:eastAsia="CESI仿宋-GB2312" w:cs="CESI仿宋-GB2312"/>
          <w:b w:val="0"/>
          <w:bCs/>
          <w:color w:val="000000"/>
          <w:sz w:val="32"/>
          <w:szCs w:val="32"/>
          <w:shd w:val="clear" w:color="auto" w:fill="FFFFFF"/>
          <w:lang w:eastAsia="zh-CN"/>
        </w:rPr>
        <w:t>提</w:t>
      </w:r>
      <w:r>
        <w:rPr>
          <w:rFonts w:hint="eastAsia" w:ascii="CESI仿宋-GB2312" w:hAnsi="CESI仿宋-GB2312" w:eastAsia="CESI仿宋-GB2312" w:cs="CESI仿宋-GB2312"/>
          <w:b w:val="0"/>
          <w:bCs/>
          <w:color w:val="000000"/>
          <w:sz w:val="32"/>
          <w:szCs w:val="32"/>
          <w:shd w:val="clear" w:color="auto" w:fill="FFFFFF"/>
          <w:lang w:val="en-US" w:eastAsia="zh-CN"/>
        </w:rPr>
        <w:t>升</w:t>
      </w:r>
      <w:r>
        <w:rPr>
          <w:rFonts w:hint="eastAsia" w:ascii="CESI仿宋-GB2312" w:hAnsi="CESI仿宋-GB2312" w:eastAsia="CESI仿宋-GB2312" w:cs="CESI仿宋-GB2312"/>
          <w:b w:val="0"/>
          <w:bCs/>
          <w:color w:val="000000"/>
          <w:sz w:val="32"/>
          <w:szCs w:val="32"/>
          <w:shd w:val="clear" w:color="auto" w:fill="FFFFFF"/>
          <w:lang w:eastAsia="zh-CN"/>
        </w:rPr>
        <w:t>绩效管理</w:t>
      </w:r>
      <w:r>
        <w:rPr>
          <w:rFonts w:hint="eastAsia" w:ascii="CESI仿宋-GB2312" w:hAnsi="CESI仿宋-GB2312" w:eastAsia="CESI仿宋-GB2312" w:cs="CESI仿宋-GB2312"/>
          <w:b w:val="0"/>
          <w:bCs/>
          <w:color w:val="000000"/>
          <w:sz w:val="32"/>
          <w:szCs w:val="32"/>
          <w:shd w:val="clear" w:color="auto" w:fill="FFFFFF"/>
          <w:lang w:val="en-US" w:eastAsia="zh-CN"/>
        </w:rPr>
        <w:t>水</w:t>
      </w:r>
      <w:r>
        <w:rPr>
          <w:rFonts w:hint="eastAsia" w:ascii="CESI仿宋-GB2312" w:hAnsi="CESI仿宋-GB2312" w:eastAsia="CESI仿宋-GB2312" w:cs="CESI仿宋-GB2312"/>
          <w:b w:val="0"/>
          <w:bCs/>
          <w:color w:val="000000"/>
          <w:sz w:val="32"/>
          <w:szCs w:val="32"/>
          <w:shd w:val="clear" w:color="auto" w:fill="FFFFFF"/>
          <w:lang w:eastAsia="zh-CN"/>
        </w:rPr>
        <w:t>平。</w:t>
      </w:r>
    </w:p>
    <w:p w14:paraId="30884B6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p>
    <w:p w14:paraId="2068CFAA">
      <w:pPr>
        <w:pStyle w:val="3"/>
        <w:keepNext w:val="0"/>
        <w:keepLines w:val="0"/>
        <w:pageBreakBefore w:val="0"/>
        <w:wordWrap/>
        <w:overflowPunct/>
        <w:topLinePunct w:val="0"/>
        <w:bidi w:val="0"/>
        <w:spacing w:line="600" w:lineRule="exact"/>
        <w:ind w:left="0" w:leftChars="0" w:firstLine="0" w:firstLineChars="0"/>
        <w:jc w:val="both"/>
        <w:rPr>
          <w:rFonts w:hint="default" w:eastAsia="仿宋_GB2312"/>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w:t>
      </w:r>
    </w:p>
    <w:p w14:paraId="323526B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其他需要说明的情况</w:t>
      </w:r>
    </w:p>
    <w:p w14:paraId="090B1055">
      <w:pPr>
        <w:pStyle w:val="7"/>
        <w:keepNext w:val="0"/>
        <w:keepLines w:val="0"/>
        <w:pageBreakBefore w:val="0"/>
        <w:widowControl/>
        <w:suppressLineNumbers w:val="0"/>
        <w:wordWrap/>
        <w:overflowPunct/>
        <w:topLinePunct w:val="0"/>
        <w:bidi w:val="0"/>
        <w:spacing w:before="0" w:beforeAutospacing="0" w:after="0" w:afterAutospacing="0" w:line="600" w:lineRule="exact"/>
        <w:ind w:left="0" w:right="0" w:firstLine="672"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pacing w:val="8"/>
          <w:sz w:val="32"/>
          <w:szCs w:val="32"/>
        </w:rPr>
        <w:t>2024年9月，城管执法机构改革，经济技术开发区城管大队并入我单位，管辖范围和工作人员均相应增加</w:t>
      </w:r>
      <w:r>
        <w:rPr>
          <w:rFonts w:hint="eastAsia" w:ascii="CESI仿宋-GB2312" w:hAnsi="CESI仿宋-GB2312" w:eastAsia="CESI仿宋-GB2312" w:cs="CESI仿宋-GB2312"/>
          <w:spacing w:val="8"/>
          <w:sz w:val="32"/>
          <w:szCs w:val="32"/>
          <w:lang w:eastAsia="zh-CN"/>
        </w:rPr>
        <w:t>，同时，我单位隶属关系调整为岳阳市城市管理综合行政执法支队直属大队，更名为</w:t>
      </w:r>
      <w:r>
        <w:rPr>
          <w:rFonts w:hint="eastAsia" w:ascii="CESI仿宋-GB2312" w:hAnsi="CESI仿宋-GB2312" w:eastAsia="CESI仿宋-GB2312" w:cs="CESI仿宋-GB2312"/>
          <w:sz w:val="32"/>
          <w:szCs w:val="32"/>
        </w:rPr>
        <w:t>岳阳市城市管理综合行政执法支队站场执法大队</w:t>
      </w:r>
      <w:r>
        <w:rPr>
          <w:rFonts w:hint="eastAsia" w:ascii="CESI仿宋-GB2312" w:hAnsi="CESI仿宋-GB2312" w:eastAsia="CESI仿宋-GB2312" w:cs="CESI仿宋-GB2312"/>
          <w:sz w:val="32"/>
          <w:szCs w:val="32"/>
          <w:lang w:eastAsia="zh-CN"/>
        </w:rPr>
        <w:t>。</w:t>
      </w:r>
    </w:p>
    <w:p w14:paraId="6BCD6642">
      <w:pPr>
        <w:pStyle w:val="3"/>
        <w:keepNext w:val="0"/>
        <w:keepLines w:val="0"/>
        <w:pageBreakBefore w:val="0"/>
        <w:wordWrap/>
        <w:overflowPunct/>
        <w:topLinePunct w:val="0"/>
        <w:bidi w:val="0"/>
        <w:spacing w:line="600" w:lineRule="exact"/>
        <w:ind w:left="0" w:leftChars="0" w:firstLine="0" w:firstLineChars="0"/>
        <w:rPr>
          <w:rFonts w:hint="default"/>
        </w:rPr>
      </w:pPr>
    </w:p>
    <w:p w14:paraId="03D773DF">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部门整体支出绩效评价基础数据表</w:t>
      </w:r>
    </w:p>
    <w:p w14:paraId="7DFD4532">
      <w:pPr>
        <w:keepNext w:val="0"/>
        <w:keepLines w:val="0"/>
        <w:pageBreakBefore w:val="0"/>
        <w:widowControl/>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14:paraId="3F23A3B1">
      <w:pPr>
        <w:pStyle w:val="2"/>
        <w:keepNext w:val="0"/>
        <w:keepLines w:val="0"/>
        <w:pageBreakBefore w:val="0"/>
        <w:wordWrap/>
        <w:overflowPunct/>
        <w:topLinePunct w:val="0"/>
        <w:bidi w:val="0"/>
        <w:spacing w:line="600" w:lineRule="exact"/>
        <w:rPr>
          <w:rFonts w:hint="eastAsia"/>
          <w:sz w:val="32"/>
          <w:szCs w:val="32"/>
        </w:rPr>
      </w:pPr>
    </w:p>
    <w:p w14:paraId="50834730">
      <w:pPr>
        <w:pStyle w:val="3"/>
        <w:rPr>
          <w:rFonts w:hint="eastAsia"/>
        </w:rPr>
      </w:pPr>
    </w:p>
    <w:p w14:paraId="5FF6B6A8">
      <w:pPr>
        <w:pStyle w:val="7"/>
        <w:keepNext w:val="0"/>
        <w:keepLines w:val="0"/>
        <w:pageBreakBefore w:val="0"/>
        <w:widowControl/>
        <w:suppressLineNumbers w:val="0"/>
        <w:wordWrap/>
        <w:overflowPunct/>
        <w:topLinePunct w:val="0"/>
        <w:bidi w:val="0"/>
        <w:spacing w:before="0" w:beforeAutospacing="0" w:after="0" w:afterAutospacing="0" w:line="600" w:lineRule="exact"/>
        <w:ind w:right="0" w:firstLine="1280" w:firstLineChars="400"/>
        <w:jc w:val="right"/>
        <w:rPr>
          <w:rFonts w:hint="eastAsia" w:ascii="CESI仿宋-GB2312" w:hAnsi="CESI仿宋-GB2312" w:eastAsia="CESI仿宋-GB2312" w:cs="CESI仿宋-GB2312"/>
          <w:spacing w:val="8"/>
          <w:sz w:val="32"/>
          <w:szCs w:val="32"/>
          <w:lang w:eastAsia="zh-CN"/>
        </w:rPr>
      </w:pPr>
      <w:r>
        <w:rPr>
          <w:rFonts w:hint="eastAsia" w:ascii="CESI仿宋-GB2312" w:hAnsi="CESI仿宋-GB2312" w:eastAsia="CESI仿宋-GB2312" w:cs="CESI仿宋-GB2312"/>
          <w:sz w:val="32"/>
          <w:szCs w:val="32"/>
        </w:rPr>
        <w:t>岳阳市城市管理综合行政执法支队站场执法大队</w:t>
      </w:r>
    </w:p>
    <w:p w14:paraId="02799207">
      <w:pPr>
        <w:keepNext w:val="0"/>
        <w:keepLines w:val="0"/>
        <w:pageBreakBefore w:val="0"/>
        <w:wordWrap/>
        <w:overflowPunct/>
        <w:topLinePunct w:val="0"/>
        <w:bidi w:val="0"/>
        <w:spacing w:line="60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2025年6月20日</w:t>
      </w:r>
    </w:p>
    <w:p w14:paraId="0DA56A72">
      <w:pPr>
        <w:pStyle w:val="2"/>
        <w:rPr>
          <w:rFonts w:hint="default"/>
          <w:lang w:val="en-US" w:eastAsia="zh-CN"/>
        </w:rPr>
      </w:pPr>
    </w:p>
    <w:p w14:paraId="67212525">
      <w:pPr>
        <w:pStyle w:val="3"/>
        <w:rPr>
          <w:rFonts w:hint="default"/>
          <w:lang w:val="en-US" w:eastAsia="zh-CN"/>
        </w:rPr>
      </w:pPr>
    </w:p>
    <w:p w14:paraId="1D42FDFC">
      <w:pPr>
        <w:rPr>
          <w:rFonts w:hint="default"/>
          <w:lang w:val="en-US" w:eastAsia="zh-CN"/>
        </w:rPr>
      </w:pPr>
    </w:p>
    <w:p w14:paraId="1B897C24">
      <w:pPr>
        <w:pStyle w:val="2"/>
        <w:rPr>
          <w:rFonts w:hint="default"/>
          <w:lang w:val="en-US" w:eastAsia="zh-CN"/>
        </w:rPr>
      </w:pPr>
    </w:p>
    <w:p w14:paraId="03DE058A">
      <w:pPr>
        <w:pStyle w:val="3"/>
        <w:rPr>
          <w:rFonts w:hint="default"/>
          <w:lang w:val="en-US" w:eastAsia="zh-CN"/>
        </w:rPr>
      </w:pPr>
    </w:p>
    <w:p w14:paraId="43AB3A07">
      <w:pPr>
        <w:rPr>
          <w:rFonts w:hint="default"/>
          <w:lang w:val="en-US" w:eastAsia="zh-CN"/>
        </w:rPr>
      </w:pPr>
    </w:p>
    <w:p w14:paraId="5A089E07">
      <w:pPr>
        <w:pStyle w:val="2"/>
        <w:rPr>
          <w:rFonts w:hint="default"/>
          <w:lang w:val="en-US" w:eastAsia="zh-CN"/>
        </w:rPr>
      </w:pPr>
    </w:p>
    <w:p w14:paraId="4F3217A6">
      <w:pPr>
        <w:pStyle w:val="3"/>
        <w:rPr>
          <w:rFonts w:hint="default"/>
          <w:lang w:val="en-US" w:eastAsia="zh-CN"/>
        </w:rPr>
      </w:pPr>
    </w:p>
    <w:p w14:paraId="2ED68311">
      <w:pPr>
        <w:rPr>
          <w:rFonts w:hint="default"/>
          <w:lang w:val="en-US" w:eastAsia="zh-CN"/>
        </w:rPr>
      </w:pPr>
    </w:p>
    <w:p w14:paraId="418F2AE0">
      <w:pPr>
        <w:pStyle w:val="2"/>
        <w:rPr>
          <w:rFonts w:hint="default"/>
          <w:lang w:val="en-US" w:eastAsia="zh-CN"/>
        </w:rPr>
      </w:pPr>
    </w:p>
    <w:p w14:paraId="6532BD3F">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29DBFB3C">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default" w:ascii="方正小标宋简体" w:hAnsi="方正小标宋简体" w:eastAsia="方正小标宋简体" w:cs="方正小标宋简体"/>
          <w:sz w:val="36"/>
          <w:szCs w:val="36"/>
          <w:highlight w:val="none"/>
          <w:lang w:val="e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3686BE37">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1ACF7A0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553C18BC">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4F9285B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6ABD038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73589780">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571F3FE8">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362E76E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79</w:t>
            </w:r>
          </w:p>
        </w:tc>
        <w:tc>
          <w:tcPr>
            <w:tcW w:w="2240" w:type="dxa"/>
            <w:gridSpan w:val="2"/>
            <w:tcBorders>
              <w:top w:val="single" w:color="auto" w:sz="4" w:space="0"/>
              <w:left w:val="nil"/>
              <w:bottom w:val="single" w:color="auto" w:sz="4" w:space="0"/>
              <w:right w:val="single" w:color="auto" w:sz="4" w:space="0"/>
            </w:tcBorders>
            <w:noWrap w:val="0"/>
            <w:vAlign w:val="center"/>
          </w:tcPr>
          <w:p w14:paraId="37B652B2">
            <w:pPr>
              <w:widowControl/>
              <w:spacing w:line="360" w:lineRule="exact"/>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79</w:t>
            </w:r>
          </w:p>
        </w:tc>
        <w:tc>
          <w:tcPr>
            <w:tcW w:w="2041" w:type="dxa"/>
            <w:gridSpan w:val="2"/>
            <w:tcBorders>
              <w:top w:val="single" w:color="auto" w:sz="4" w:space="0"/>
              <w:left w:val="nil"/>
              <w:bottom w:val="single" w:color="auto" w:sz="4" w:space="0"/>
              <w:right w:val="single" w:color="auto" w:sz="4" w:space="0"/>
            </w:tcBorders>
            <w:noWrap w:val="0"/>
            <w:vAlign w:val="center"/>
          </w:tcPr>
          <w:p w14:paraId="301D259E">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r>
              <w:rPr>
                <w:rFonts w:hint="eastAsia" w:ascii="仿宋_GB2312" w:hAnsi="仿宋_GB2312" w:eastAsia="仿宋_GB2312" w:cs="仿宋_GB2312"/>
                <w:color w:val="auto"/>
                <w:sz w:val="20"/>
                <w:szCs w:val="20"/>
                <w:highlight w:val="none"/>
              </w:rPr>
              <w:t>　</w:t>
            </w:r>
          </w:p>
        </w:tc>
      </w:tr>
      <w:tr w14:paraId="62C8F8D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4BDDC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5528B80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7C17C505">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4144833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lang w:val="en"/>
              </w:rPr>
              <w:t>4</w:t>
            </w:r>
            <w:r>
              <w:rPr>
                <w:rFonts w:hint="eastAsia" w:ascii="仿宋_GB2312" w:hAnsi="仿宋_GB2312" w:eastAsia="仿宋_GB2312" w:cs="仿宋_GB2312"/>
                <w:b/>
                <w:bCs/>
                <w:sz w:val="20"/>
                <w:szCs w:val="20"/>
                <w:highlight w:val="none"/>
              </w:rPr>
              <w:t>年决算数</w:t>
            </w:r>
          </w:p>
        </w:tc>
      </w:tr>
      <w:tr w14:paraId="4A483FB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7A83F1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319BD64">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5.97</w:t>
            </w:r>
          </w:p>
        </w:tc>
        <w:tc>
          <w:tcPr>
            <w:tcW w:w="2240" w:type="dxa"/>
            <w:gridSpan w:val="2"/>
            <w:tcBorders>
              <w:top w:val="single" w:color="auto" w:sz="4" w:space="0"/>
              <w:left w:val="nil"/>
              <w:bottom w:val="single" w:color="auto" w:sz="4" w:space="0"/>
              <w:right w:val="single" w:color="000000" w:sz="4" w:space="0"/>
            </w:tcBorders>
            <w:noWrap w:val="0"/>
            <w:vAlign w:val="center"/>
          </w:tcPr>
          <w:p w14:paraId="3D048737">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9.50</w:t>
            </w:r>
          </w:p>
        </w:tc>
        <w:tc>
          <w:tcPr>
            <w:tcW w:w="2041" w:type="dxa"/>
            <w:gridSpan w:val="2"/>
            <w:tcBorders>
              <w:top w:val="single" w:color="auto" w:sz="4" w:space="0"/>
              <w:left w:val="nil"/>
              <w:bottom w:val="single" w:color="auto" w:sz="4" w:space="0"/>
              <w:right w:val="single" w:color="000000" w:sz="4" w:space="0"/>
            </w:tcBorders>
            <w:noWrap w:val="0"/>
            <w:vAlign w:val="center"/>
          </w:tcPr>
          <w:p w14:paraId="0B6C0D51">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8.11</w:t>
            </w:r>
          </w:p>
        </w:tc>
      </w:tr>
      <w:tr w14:paraId="65C8E41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F2306B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990BC5B">
            <w:pPr>
              <w:widowControl/>
              <w:spacing w:line="360" w:lineRule="exact"/>
              <w:jc w:val="center"/>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5.97</w:t>
            </w:r>
          </w:p>
        </w:tc>
        <w:tc>
          <w:tcPr>
            <w:tcW w:w="2240" w:type="dxa"/>
            <w:gridSpan w:val="2"/>
            <w:tcBorders>
              <w:top w:val="single" w:color="auto" w:sz="4" w:space="0"/>
              <w:left w:val="nil"/>
              <w:bottom w:val="single" w:color="auto" w:sz="4" w:space="0"/>
              <w:right w:val="single" w:color="000000" w:sz="4" w:space="0"/>
            </w:tcBorders>
            <w:noWrap w:val="0"/>
            <w:vAlign w:val="center"/>
          </w:tcPr>
          <w:p w14:paraId="41A20AA0">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3D919F13">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8.11</w:t>
            </w:r>
          </w:p>
        </w:tc>
      </w:tr>
      <w:tr w14:paraId="5F15B78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E1771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5A671EE2">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5C11CC5E">
            <w:pPr>
              <w:widowControl/>
              <w:spacing w:line="360" w:lineRule="exact"/>
              <w:jc w:val="center"/>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3D722EBB">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50DE32F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7D7EAE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BD9AD0E">
            <w:pPr>
              <w:widowControl/>
              <w:spacing w:line="360" w:lineRule="exact"/>
              <w:jc w:val="center"/>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5.97</w:t>
            </w:r>
          </w:p>
        </w:tc>
        <w:tc>
          <w:tcPr>
            <w:tcW w:w="2240" w:type="dxa"/>
            <w:gridSpan w:val="2"/>
            <w:tcBorders>
              <w:top w:val="single" w:color="auto" w:sz="4" w:space="0"/>
              <w:left w:val="nil"/>
              <w:bottom w:val="single" w:color="auto" w:sz="4" w:space="0"/>
              <w:right w:val="single" w:color="000000" w:sz="4" w:space="0"/>
            </w:tcBorders>
            <w:noWrap w:val="0"/>
            <w:vAlign w:val="center"/>
          </w:tcPr>
          <w:p w14:paraId="4C2ED346">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781864E7">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8.11</w:t>
            </w:r>
          </w:p>
        </w:tc>
      </w:tr>
      <w:tr w14:paraId="0416B85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36458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8E292FB">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081EC21A">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134A7543">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2450317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3187FE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706A83A9">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5DC409D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0.50</w:t>
            </w:r>
          </w:p>
        </w:tc>
        <w:tc>
          <w:tcPr>
            <w:tcW w:w="2041" w:type="dxa"/>
            <w:gridSpan w:val="2"/>
            <w:tcBorders>
              <w:top w:val="single" w:color="auto" w:sz="4" w:space="0"/>
              <w:left w:val="nil"/>
              <w:bottom w:val="single" w:color="auto" w:sz="4" w:space="0"/>
              <w:right w:val="single" w:color="000000" w:sz="4" w:space="0"/>
            </w:tcBorders>
            <w:noWrap w:val="0"/>
            <w:vAlign w:val="center"/>
          </w:tcPr>
          <w:p w14:paraId="59EA524F">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7325421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7F8A3A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4D9F1EC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370.43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E5FA79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564.04</w:t>
            </w:r>
          </w:p>
        </w:tc>
        <w:tc>
          <w:tcPr>
            <w:tcW w:w="2041" w:type="dxa"/>
            <w:gridSpan w:val="2"/>
            <w:tcBorders>
              <w:top w:val="single" w:color="auto" w:sz="4" w:space="0"/>
              <w:left w:val="nil"/>
              <w:bottom w:val="single" w:color="auto" w:sz="4" w:space="0"/>
              <w:right w:val="single" w:color="000000" w:sz="4" w:space="0"/>
            </w:tcBorders>
            <w:noWrap w:val="0"/>
            <w:vAlign w:val="center"/>
          </w:tcPr>
          <w:p w14:paraId="3C16F77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555.53</w:t>
            </w:r>
          </w:p>
        </w:tc>
      </w:tr>
      <w:tr w14:paraId="2D56FBB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CAE8F3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5BB3D3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169B76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35.35</w:t>
            </w:r>
          </w:p>
        </w:tc>
        <w:tc>
          <w:tcPr>
            <w:tcW w:w="2041" w:type="dxa"/>
            <w:gridSpan w:val="2"/>
            <w:tcBorders>
              <w:top w:val="single" w:color="auto" w:sz="4" w:space="0"/>
              <w:left w:val="nil"/>
              <w:bottom w:val="single" w:color="auto" w:sz="4" w:space="0"/>
              <w:right w:val="single" w:color="000000" w:sz="4" w:space="0"/>
            </w:tcBorders>
            <w:noWrap w:val="0"/>
            <w:vAlign w:val="center"/>
          </w:tcPr>
          <w:p w14:paraId="243089B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35.35</w:t>
            </w:r>
          </w:p>
        </w:tc>
      </w:tr>
      <w:tr w14:paraId="21BF3F3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E1E3CD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202F00F">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60.00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BDF2A4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70.00</w:t>
            </w:r>
          </w:p>
        </w:tc>
        <w:tc>
          <w:tcPr>
            <w:tcW w:w="2041" w:type="dxa"/>
            <w:gridSpan w:val="2"/>
            <w:tcBorders>
              <w:top w:val="single" w:color="auto" w:sz="4" w:space="0"/>
              <w:left w:val="nil"/>
              <w:bottom w:val="single" w:color="auto" w:sz="4" w:space="0"/>
              <w:right w:val="single" w:color="000000" w:sz="4" w:space="0"/>
            </w:tcBorders>
            <w:noWrap w:val="0"/>
            <w:vAlign w:val="center"/>
          </w:tcPr>
          <w:p w14:paraId="20B1C00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66.50</w:t>
            </w:r>
          </w:p>
        </w:tc>
      </w:tr>
      <w:tr w14:paraId="26DD9C4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7569DE">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64184F1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310.43</w:t>
            </w:r>
          </w:p>
        </w:tc>
        <w:tc>
          <w:tcPr>
            <w:tcW w:w="2240" w:type="dxa"/>
            <w:gridSpan w:val="2"/>
            <w:tcBorders>
              <w:top w:val="single" w:color="auto" w:sz="4" w:space="0"/>
              <w:left w:val="nil"/>
              <w:bottom w:val="single" w:color="auto" w:sz="4" w:space="0"/>
              <w:right w:val="single" w:color="000000" w:sz="4" w:space="0"/>
            </w:tcBorders>
            <w:noWrap w:val="0"/>
            <w:vAlign w:val="center"/>
          </w:tcPr>
          <w:p w14:paraId="13BA23B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458.69</w:t>
            </w:r>
          </w:p>
        </w:tc>
        <w:tc>
          <w:tcPr>
            <w:tcW w:w="2041" w:type="dxa"/>
            <w:gridSpan w:val="2"/>
            <w:tcBorders>
              <w:top w:val="single" w:color="auto" w:sz="4" w:space="0"/>
              <w:left w:val="nil"/>
              <w:bottom w:val="single" w:color="auto" w:sz="4" w:space="0"/>
              <w:right w:val="single" w:color="000000" w:sz="4" w:space="0"/>
            </w:tcBorders>
            <w:noWrap w:val="0"/>
            <w:vAlign w:val="center"/>
          </w:tcPr>
          <w:p w14:paraId="0D04DB7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453.68</w:t>
            </w:r>
          </w:p>
        </w:tc>
      </w:tr>
      <w:tr w14:paraId="7624418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D263FFE">
            <w:pPr>
              <w:widowControl/>
              <w:spacing w:line="360" w:lineRule="exact"/>
              <w:ind w:firstLine="800" w:firstLineChars="40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协管员经费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769A99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165.22</w:t>
            </w:r>
          </w:p>
        </w:tc>
        <w:tc>
          <w:tcPr>
            <w:tcW w:w="2240" w:type="dxa"/>
            <w:gridSpan w:val="2"/>
            <w:tcBorders>
              <w:top w:val="single" w:color="auto" w:sz="4" w:space="0"/>
              <w:left w:val="nil"/>
              <w:bottom w:val="single" w:color="auto" w:sz="4" w:space="0"/>
              <w:right w:val="single" w:color="000000" w:sz="4" w:space="0"/>
            </w:tcBorders>
            <w:noWrap w:val="0"/>
            <w:vAlign w:val="center"/>
          </w:tcPr>
          <w:p w14:paraId="7FB502C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176.78</w:t>
            </w:r>
          </w:p>
        </w:tc>
        <w:tc>
          <w:tcPr>
            <w:tcW w:w="2041" w:type="dxa"/>
            <w:gridSpan w:val="2"/>
            <w:tcBorders>
              <w:top w:val="single" w:color="auto" w:sz="4" w:space="0"/>
              <w:left w:val="nil"/>
              <w:bottom w:val="single" w:color="auto" w:sz="4" w:space="0"/>
              <w:right w:val="single" w:color="000000" w:sz="4" w:space="0"/>
            </w:tcBorders>
            <w:noWrap w:val="0"/>
            <w:vAlign w:val="center"/>
          </w:tcPr>
          <w:p w14:paraId="58F045F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176.78</w:t>
            </w:r>
          </w:p>
        </w:tc>
      </w:tr>
      <w:tr w14:paraId="1235ACB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5DC262B">
            <w:pPr>
              <w:widowControl/>
              <w:spacing w:line="360" w:lineRule="exact"/>
              <w:ind w:firstLine="800" w:firstLineChars="400"/>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城管事务经费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500DD6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123.24</w:t>
            </w:r>
          </w:p>
        </w:tc>
        <w:tc>
          <w:tcPr>
            <w:tcW w:w="2240" w:type="dxa"/>
            <w:gridSpan w:val="2"/>
            <w:tcBorders>
              <w:top w:val="single" w:color="auto" w:sz="4" w:space="0"/>
              <w:left w:val="nil"/>
              <w:bottom w:val="single" w:color="auto" w:sz="4" w:space="0"/>
              <w:right w:val="single" w:color="000000" w:sz="4" w:space="0"/>
            </w:tcBorders>
            <w:noWrap w:val="0"/>
            <w:vAlign w:val="center"/>
          </w:tcPr>
          <w:p w14:paraId="014E1AA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249.66</w:t>
            </w:r>
          </w:p>
        </w:tc>
        <w:tc>
          <w:tcPr>
            <w:tcW w:w="2041" w:type="dxa"/>
            <w:gridSpan w:val="2"/>
            <w:tcBorders>
              <w:top w:val="single" w:color="auto" w:sz="4" w:space="0"/>
              <w:left w:val="nil"/>
              <w:bottom w:val="single" w:color="auto" w:sz="4" w:space="0"/>
              <w:right w:val="single" w:color="000000" w:sz="4" w:space="0"/>
            </w:tcBorders>
            <w:noWrap w:val="0"/>
            <w:vAlign w:val="center"/>
          </w:tcPr>
          <w:p w14:paraId="0AA7654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244.65</w:t>
            </w:r>
          </w:p>
        </w:tc>
      </w:tr>
      <w:tr w14:paraId="0E1993C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B98C25">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(3)办案费</w:t>
            </w:r>
          </w:p>
        </w:tc>
        <w:tc>
          <w:tcPr>
            <w:tcW w:w="2038" w:type="dxa"/>
            <w:gridSpan w:val="2"/>
            <w:tcBorders>
              <w:top w:val="single" w:color="auto" w:sz="4" w:space="0"/>
              <w:left w:val="nil"/>
              <w:bottom w:val="single" w:color="auto" w:sz="4" w:space="0"/>
              <w:right w:val="single" w:color="000000" w:sz="4" w:space="0"/>
            </w:tcBorders>
            <w:noWrap w:val="0"/>
            <w:vAlign w:val="center"/>
          </w:tcPr>
          <w:p w14:paraId="75C6A06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21.97</w:t>
            </w:r>
          </w:p>
        </w:tc>
        <w:tc>
          <w:tcPr>
            <w:tcW w:w="2240" w:type="dxa"/>
            <w:gridSpan w:val="2"/>
            <w:tcBorders>
              <w:top w:val="single" w:color="auto" w:sz="4" w:space="0"/>
              <w:left w:val="nil"/>
              <w:bottom w:val="single" w:color="auto" w:sz="4" w:space="0"/>
              <w:right w:val="single" w:color="000000" w:sz="4" w:space="0"/>
            </w:tcBorders>
            <w:noWrap w:val="0"/>
            <w:vAlign w:val="center"/>
          </w:tcPr>
          <w:p w14:paraId="7798359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32.25</w:t>
            </w:r>
          </w:p>
        </w:tc>
        <w:tc>
          <w:tcPr>
            <w:tcW w:w="2041" w:type="dxa"/>
            <w:gridSpan w:val="2"/>
            <w:tcBorders>
              <w:top w:val="single" w:color="auto" w:sz="4" w:space="0"/>
              <w:left w:val="nil"/>
              <w:bottom w:val="single" w:color="auto" w:sz="4" w:space="0"/>
              <w:right w:val="single" w:color="000000" w:sz="4" w:space="0"/>
            </w:tcBorders>
            <w:noWrap w:val="0"/>
            <w:vAlign w:val="center"/>
          </w:tcPr>
          <w:p w14:paraId="55A5096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32.25</w:t>
            </w:r>
          </w:p>
        </w:tc>
      </w:tr>
      <w:tr w14:paraId="4D3797E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F4470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7D81E29">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101.68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8DCB1D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105.56</w:t>
            </w:r>
          </w:p>
        </w:tc>
        <w:tc>
          <w:tcPr>
            <w:tcW w:w="2041" w:type="dxa"/>
            <w:gridSpan w:val="2"/>
            <w:tcBorders>
              <w:top w:val="single" w:color="auto" w:sz="4" w:space="0"/>
              <w:left w:val="nil"/>
              <w:bottom w:val="single" w:color="auto" w:sz="4" w:space="0"/>
              <w:right w:val="single" w:color="000000" w:sz="4" w:space="0"/>
            </w:tcBorders>
            <w:noWrap w:val="0"/>
            <w:vAlign w:val="center"/>
          </w:tcPr>
          <w:p w14:paraId="4705949A">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98.43</w:t>
            </w:r>
          </w:p>
        </w:tc>
      </w:tr>
      <w:tr w14:paraId="7DF341A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3D1EC8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5698AF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9.80</w:t>
            </w:r>
          </w:p>
        </w:tc>
        <w:tc>
          <w:tcPr>
            <w:tcW w:w="2240" w:type="dxa"/>
            <w:gridSpan w:val="2"/>
            <w:tcBorders>
              <w:top w:val="single" w:color="auto" w:sz="4" w:space="0"/>
              <w:left w:val="nil"/>
              <w:bottom w:val="single" w:color="auto" w:sz="4" w:space="0"/>
              <w:right w:val="single" w:color="000000" w:sz="4" w:space="0"/>
            </w:tcBorders>
            <w:noWrap w:val="0"/>
            <w:vAlign w:val="center"/>
          </w:tcPr>
          <w:p w14:paraId="17F64828">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14:paraId="5852F722">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9.47</w:t>
            </w:r>
          </w:p>
        </w:tc>
      </w:tr>
      <w:tr w14:paraId="329781A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587AA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1B326587">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21.74</w:t>
            </w:r>
          </w:p>
        </w:tc>
        <w:tc>
          <w:tcPr>
            <w:tcW w:w="2240" w:type="dxa"/>
            <w:gridSpan w:val="2"/>
            <w:tcBorders>
              <w:top w:val="single" w:color="auto" w:sz="4" w:space="0"/>
              <w:left w:val="nil"/>
              <w:bottom w:val="single" w:color="auto" w:sz="4" w:space="0"/>
              <w:right w:val="single" w:color="000000" w:sz="4" w:space="0"/>
            </w:tcBorders>
            <w:noWrap w:val="0"/>
            <w:vAlign w:val="center"/>
          </w:tcPr>
          <w:p w14:paraId="35E2A6B5">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16.50</w:t>
            </w:r>
          </w:p>
        </w:tc>
        <w:tc>
          <w:tcPr>
            <w:tcW w:w="2041" w:type="dxa"/>
            <w:gridSpan w:val="2"/>
            <w:tcBorders>
              <w:top w:val="single" w:color="auto" w:sz="4" w:space="0"/>
              <w:left w:val="nil"/>
              <w:bottom w:val="single" w:color="auto" w:sz="4" w:space="0"/>
              <w:right w:val="single" w:color="000000" w:sz="4" w:space="0"/>
            </w:tcBorders>
            <w:noWrap w:val="0"/>
            <w:vAlign w:val="center"/>
          </w:tcPr>
          <w:p w14:paraId="56EFE4E2">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9.50</w:t>
            </w:r>
          </w:p>
        </w:tc>
      </w:tr>
      <w:tr w14:paraId="51B62E6D">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E020D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017A2D61">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0.46</w:t>
            </w:r>
          </w:p>
        </w:tc>
        <w:tc>
          <w:tcPr>
            <w:tcW w:w="2240" w:type="dxa"/>
            <w:gridSpan w:val="2"/>
            <w:tcBorders>
              <w:top w:val="single" w:color="auto" w:sz="4" w:space="0"/>
              <w:left w:val="nil"/>
              <w:bottom w:val="single" w:color="auto" w:sz="4" w:space="0"/>
              <w:right w:val="single" w:color="000000" w:sz="4" w:space="0"/>
            </w:tcBorders>
            <w:noWrap w:val="0"/>
            <w:vAlign w:val="center"/>
          </w:tcPr>
          <w:p w14:paraId="78EC3B43">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2.00</w:t>
            </w:r>
          </w:p>
        </w:tc>
        <w:tc>
          <w:tcPr>
            <w:tcW w:w="2041" w:type="dxa"/>
            <w:gridSpan w:val="2"/>
            <w:tcBorders>
              <w:top w:val="single" w:color="auto" w:sz="4" w:space="0"/>
              <w:left w:val="nil"/>
              <w:bottom w:val="single" w:color="auto" w:sz="4" w:space="0"/>
              <w:right w:val="single" w:color="000000" w:sz="4" w:space="0"/>
            </w:tcBorders>
            <w:noWrap w:val="0"/>
            <w:vAlign w:val="center"/>
          </w:tcPr>
          <w:p w14:paraId="2F710CB2">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0.11</w:t>
            </w:r>
          </w:p>
        </w:tc>
      </w:tr>
      <w:tr w14:paraId="1432381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E20E0E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204499D8">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sz w:val="20"/>
                <w:szCs w:val="20"/>
                <w:highlight w:val="none"/>
                <w:lang w:val="en-US" w:eastAsia="zh-CN"/>
              </w:rPr>
              <w:t>12.90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1D633B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165.34</w:t>
            </w:r>
          </w:p>
        </w:tc>
        <w:tc>
          <w:tcPr>
            <w:tcW w:w="2041" w:type="dxa"/>
            <w:gridSpan w:val="2"/>
            <w:tcBorders>
              <w:top w:val="single" w:color="auto" w:sz="4" w:space="0"/>
              <w:left w:val="nil"/>
              <w:bottom w:val="single" w:color="auto" w:sz="4" w:space="0"/>
              <w:right w:val="single" w:color="000000" w:sz="4" w:space="0"/>
            </w:tcBorders>
            <w:noWrap w:val="0"/>
            <w:vAlign w:val="center"/>
          </w:tcPr>
          <w:p w14:paraId="6780BE7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158.53</w:t>
            </w:r>
          </w:p>
        </w:tc>
      </w:tr>
      <w:tr w14:paraId="4A10DD0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543941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0E932EB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1068.47</w:t>
            </w:r>
          </w:p>
        </w:tc>
        <w:tc>
          <w:tcPr>
            <w:tcW w:w="2240" w:type="dxa"/>
            <w:gridSpan w:val="2"/>
            <w:tcBorders>
              <w:top w:val="single" w:color="auto" w:sz="4" w:space="0"/>
              <w:left w:val="nil"/>
              <w:bottom w:val="single" w:color="auto" w:sz="4" w:space="0"/>
              <w:right w:val="single" w:color="000000" w:sz="4" w:space="0"/>
            </w:tcBorders>
            <w:noWrap w:val="0"/>
            <w:vAlign w:val="center"/>
          </w:tcPr>
          <w:p w14:paraId="30EEB90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1110.48</w:t>
            </w:r>
          </w:p>
        </w:tc>
        <w:tc>
          <w:tcPr>
            <w:tcW w:w="2041" w:type="dxa"/>
            <w:gridSpan w:val="2"/>
            <w:tcBorders>
              <w:top w:val="single" w:color="auto" w:sz="4" w:space="0"/>
              <w:left w:val="nil"/>
              <w:bottom w:val="single" w:color="auto" w:sz="4" w:space="0"/>
              <w:right w:val="single" w:color="000000" w:sz="4" w:space="0"/>
            </w:tcBorders>
            <w:noWrap w:val="0"/>
            <w:vAlign w:val="center"/>
          </w:tcPr>
          <w:p w14:paraId="7E094AB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1072.04</w:t>
            </w:r>
          </w:p>
        </w:tc>
      </w:tr>
      <w:tr w14:paraId="6637DDD3">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073C5D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18544BD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5C6FC81F">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387F4E9F">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0FF06DC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3C7CE59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47AD7AFE">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782C6167">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0F490D9B">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6E465541">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476A0893">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05DB479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62090CE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0553F4C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3C728F0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7E71480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A60C3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4467B35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单位《财务管理制度》和《内控管理制度》，多次组织干部职工进行厉行节约教育，压减一般性支出。严格按单位内控制度执行，加强了经济业务支出各环节管理，提高财政资金使用效率。</w:t>
            </w:r>
            <w:r>
              <w:rPr>
                <w:rFonts w:hint="eastAsia" w:ascii="仿宋_GB2312" w:hAnsi="仿宋_GB2312" w:eastAsia="仿宋_GB2312" w:cs="仿宋_GB2312"/>
                <w:sz w:val="20"/>
                <w:szCs w:val="20"/>
                <w:highlight w:val="none"/>
              </w:rPr>
              <w:t>　</w:t>
            </w:r>
          </w:p>
        </w:tc>
      </w:tr>
    </w:tbl>
    <w:p w14:paraId="12F7738D">
      <w:pPr>
        <w:widowControl/>
        <w:spacing w:afterLines="0" w:line="400" w:lineRule="exact"/>
        <w:jc w:val="left"/>
        <w:rPr>
          <w:rFonts w:hint="default" w:ascii="Times New Roman" w:hAnsi="Times New Roman" w:eastAsia="仿宋_GB2312" w:cs="Times New Roman"/>
          <w:sz w:val="22"/>
          <w:highlight w:val="none"/>
        </w:rPr>
      </w:pPr>
    </w:p>
    <w:p w14:paraId="2DE9AC1B">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w:t>
      </w:r>
      <w:r>
        <w:rPr>
          <w:rFonts w:hint="default" w:ascii="CESI仿宋-GB2312" w:hAnsi="CESI仿宋-GB2312" w:eastAsia="CESI仿宋-GB2312" w:cs="CESI仿宋-GB2312"/>
          <w:sz w:val="22"/>
          <w:highlight w:val="none"/>
          <w:lang w:val="en" w:eastAsia="zh-CN"/>
        </w:rPr>
        <w:t>5</w:t>
      </w:r>
      <w:r>
        <w:rPr>
          <w:rFonts w:hint="eastAsia" w:ascii="CESI仿宋-GB2312" w:hAnsi="CESI仿宋-GB2312" w:eastAsia="CESI仿宋-GB2312" w:cs="CESI仿宋-GB2312"/>
          <w:sz w:val="22"/>
          <w:highlight w:val="none"/>
          <w:lang w:val="en-US" w:eastAsia="zh-CN"/>
        </w:rPr>
        <w:t>.6.2</w:t>
      </w:r>
      <w:r>
        <w:rPr>
          <w:rFonts w:hint="default" w:ascii="CESI仿宋-GB2312" w:hAnsi="CESI仿宋-GB2312" w:eastAsia="CESI仿宋-GB2312" w:cs="CESI仿宋-GB2312"/>
          <w:sz w:val="22"/>
          <w:highlight w:val="none"/>
          <w:lang w:val="en" w:eastAsia="zh-CN"/>
        </w:rPr>
        <w:t>0</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14:paraId="35673D35">
      <w:pPr>
        <w:widowControl/>
        <w:spacing w:after="0" w:afterLines="0" w:line="400" w:lineRule="exact"/>
        <w:jc w:val="left"/>
        <w:rPr>
          <w:rFonts w:hint="eastAsia" w:ascii="黑体" w:hAnsi="黑体" w:eastAsia="黑体" w:cs="黑体"/>
          <w:sz w:val="32"/>
          <w:szCs w:val="32"/>
          <w:highlight w:val="none"/>
        </w:rPr>
      </w:pPr>
    </w:p>
    <w:p w14:paraId="38B02554">
      <w:pPr>
        <w:widowControl/>
        <w:spacing w:after="0" w:afterLines="0" w:line="400" w:lineRule="exact"/>
        <w:jc w:val="left"/>
        <w:rPr>
          <w:rFonts w:hint="eastAsia" w:ascii="黑体" w:hAnsi="黑体" w:eastAsia="黑体" w:cs="黑体"/>
          <w:sz w:val="32"/>
          <w:szCs w:val="32"/>
          <w:highlight w:val="none"/>
        </w:rPr>
      </w:pPr>
    </w:p>
    <w:p w14:paraId="6EDCFF64">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746B193E">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default" w:ascii="方正小标宋简体" w:hAnsi="方正小标宋简体" w:eastAsia="方正小标宋简体" w:cs="方正小标宋简体"/>
          <w:color w:val="000000"/>
          <w:sz w:val="36"/>
          <w:szCs w:val="36"/>
          <w:highlight w:val="none"/>
          <w:lang w:val="e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8"/>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793"/>
        <w:gridCol w:w="1526"/>
      </w:tblGrid>
      <w:tr w14:paraId="2EDD7CB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FF9D1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553C33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CESI仿宋-GB2312" w:hAnsi="CESI仿宋-GB2312" w:eastAsia="CESI仿宋-GB2312" w:cs="CESI仿宋-GB2312"/>
                <w:sz w:val="20"/>
                <w:szCs w:val="20"/>
              </w:rPr>
              <w:t>岳阳市城市管理综合行政执法支队站场执法大队</w:t>
            </w:r>
            <w:r>
              <w:rPr>
                <w:rFonts w:hint="eastAsia" w:ascii="仿宋_GB2312" w:hAnsi="仿宋_GB2312" w:eastAsia="仿宋_GB2312" w:cs="仿宋_GB2312"/>
                <w:color w:val="000000"/>
                <w:sz w:val="20"/>
                <w:szCs w:val="20"/>
                <w:highlight w:val="none"/>
              </w:rPr>
              <w:t>　</w:t>
            </w:r>
          </w:p>
        </w:tc>
      </w:tr>
      <w:tr w14:paraId="4E264C33">
        <w:tblPrEx>
          <w:tblCellMar>
            <w:top w:w="0" w:type="dxa"/>
            <w:left w:w="108" w:type="dxa"/>
            <w:bottom w:w="0" w:type="dxa"/>
            <w:right w:w="108" w:type="dxa"/>
          </w:tblCellMar>
        </w:tblPrEx>
        <w:trPr>
          <w:trHeight w:val="426" w:hRule="atLeast"/>
          <w:jc w:val="center"/>
        </w:trPr>
        <w:tc>
          <w:tcPr>
            <w:tcW w:w="1080" w:type="dxa"/>
            <w:vMerge w:val="restart"/>
            <w:tcBorders>
              <w:top w:val="nil"/>
              <w:left w:val="single" w:color="auto" w:sz="4" w:space="0"/>
              <w:right w:val="single" w:color="auto" w:sz="4" w:space="0"/>
            </w:tcBorders>
            <w:noWrap w:val="0"/>
            <w:vAlign w:val="center"/>
          </w:tcPr>
          <w:p w14:paraId="519C2C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76B4C1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099F773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396D0F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568167E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29828BE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1F303DA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93" w:type="dxa"/>
            <w:tcBorders>
              <w:top w:val="nil"/>
              <w:left w:val="nil"/>
              <w:bottom w:val="single" w:color="auto" w:sz="4" w:space="0"/>
              <w:right w:val="single" w:color="auto" w:sz="4" w:space="0"/>
            </w:tcBorders>
            <w:noWrap w:val="0"/>
            <w:vAlign w:val="center"/>
          </w:tcPr>
          <w:p w14:paraId="7F58943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26" w:type="dxa"/>
            <w:tcBorders>
              <w:top w:val="nil"/>
              <w:left w:val="nil"/>
              <w:bottom w:val="single" w:color="auto" w:sz="4" w:space="0"/>
              <w:right w:val="single" w:color="auto" w:sz="4" w:space="0"/>
            </w:tcBorders>
            <w:noWrap w:val="0"/>
            <w:vAlign w:val="center"/>
          </w:tcPr>
          <w:p w14:paraId="47F1D35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8EBE9EC">
        <w:tblPrEx>
          <w:tblCellMar>
            <w:top w:w="0" w:type="dxa"/>
            <w:left w:w="108" w:type="dxa"/>
            <w:bottom w:w="0" w:type="dxa"/>
            <w:right w:w="108" w:type="dxa"/>
          </w:tblCellMar>
        </w:tblPrEx>
        <w:trPr>
          <w:trHeight w:val="402" w:hRule="atLeast"/>
          <w:jc w:val="center"/>
        </w:trPr>
        <w:tc>
          <w:tcPr>
            <w:tcW w:w="1080" w:type="dxa"/>
            <w:vMerge w:val="continue"/>
            <w:tcBorders>
              <w:top w:val="nil"/>
              <w:left w:val="single" w:color="auto" w:sz="4" w:space="0"/>
              <w:right w:val="single" w:color="auto" w:sz="4" w:space="0"/>
            </w:tcBorders>
            <w:noWrap w:val="0"/>
            <w:vAlign w:val="center"/>
          </w:tcPr>
          <w:p w14:paraId="233B39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4F58042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7CB8DD1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1393.69</w:t>
            </w:r>
          </w:p>
        </w:tc>
        <w:tc>
          <w:tcPr>
            <w:tcW w:w="1311" w:type="dxa"/>
            <w:tcBorders>
              <w:top w:val="nil"/>
              <w:left w:val="nil"/>
              <w:bottom w:val="single" w:color="auto" w:sz="4" w:space="0"/>
              <w:right w:val="single" w:color="auto" w:sz="4" w:space="0"/>
            </w:tcBorders>
            <w:noWrap w:val="0"/>
            <w:vAlign w:val="center"/>
          </w:tcPr>
          <w:p w14:paraId="5F2BBDF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1674.52</w:t>
            </w:r>
          </w:p>
        </w:tc>
        <w:tc>
          <w:tcPr>
            <w:tcW w:w="1269" w:type="dxa"/>
            <w:tcBorders>
              <w:top w:val="nil"/>
              <w:left w:val="nil"/>
              <w:bottom w:val="single" w:color="auto" w:sz="4" w:space="0"/>
              <w:right w:val="single" w:color="auto" w:sz="4" w:space="0"/>
            </w:tcBorders>
            <w:noWrap w:val="0"/>
            <w:vAlign w:val="center"/>
          </w:tcPr>
          <w:p w14:paraId="04451A3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1627.57</w:t>
            </w:r>
          </w:p>
        </w:tc>
        <w:tc>
          <w:tcPr>
            <w:tcW w:w="716" w:type="dxa"/>
            <w:tcBorders>
              <w:top w:val="nil"/>
              <w:left w:val="nil"/>
              <w:bottom w:val="single" w:color="auto" w:sz="4" w:space="0"/>
              <w:right w:val="single" w:color="auto" w:sz="4" w:space="0"/>
            </w:tcBorders>
            <w:noWrap w:val="0"/>
            <w:vAlign w:val="center"/>
          </w:tcPr>
          <w:p w14:paraId="0A97DF6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793" w:type="dxa"/>
            <w:tcBorders>
              <w:top w:val="nil"/>
              <w:left w:val="nil"/>
              <w:bottom w:val="single" w:color="auto" w:sz="4" w:space="0"/>
              <w:right w:val="single" w:color="auto" w:sz="4" w:space="0"/>
            </w:tcBorders>
            <w:noWrap w:val="0"/>
            <w:vAlign w:val="center"/>
          </w:tcPr>
          <w:p w14:paraId="585CD682">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97.2%</w:t>
            </w:r>
          </w:p>
        </w:tc>
        <w:tc>
          <w:tcPr>
            <w:tcW w:w="1526" w:type="dxa"/>
            <w:tcBorders>
              <w:top w:val="nil"/>
              <w:left w:val="nil"/>
              <w:bottom w:val="single" w:color="auto" w:sz="4" w:space="0"/>
              <w:right w:val="single" w:color="auto" w:sz="4" w:space="0"/>
            </w:tcBorders>
            <w:noWrap w:val="0"/>
            <w:vAlign w:val="center"/>
          </w:tcPr>
          <w:p w14:paraId="45166640">
            <w:pPr>
              <w:keepNext w:val="0"/>
              <w:keepLines w:val="0"/>
              <w:pageBreakBefore w:val="0"/>
              <w:kinsoku/>
              <w:wordWrap/>
              <w:overflowPunct/>
              <w:topLinePunct w:val="0"/>
              <w:autoSpaceDE/>
              <w:autoSpaceDN/>
              <w:bidi w:val="0"/>
              <w:adjustRightInd/>
              <w:snapToGrid/>
              <w:spacing w:line="32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9.72</w:t>
            </w:r>
          </w:p>
        </w:tc>
      </w:tr>
      <w:tr w14:paraId="1A261B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AFFEA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021D7A5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374B9F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按支出性质分：</w:t>
            </w:r>
          </w:p>
        </w:tc>
      </w:tr>
      <w:tr w14:paraId="7B24B486">
        <w:tblPrEx>
          <w:tblCellMar>
            <w:top w:w="0" w:type="dxa"/>
            <w:left w:w="108" w:type="dxa"/>
            <w:bottom w:w="0" w:type="dxa"/>
            <w:right w:w="108" w:type="dxa"/>
          </w:tblCellMar>
        </w:tblPrEx>
        <w:trPr>
          <w:trHeight w:val="438" w:hRule="atLeast"/>
          <w:jc w:val="center"/>
        </w:trPr>
        <w:tc>
          <w:tcPr>
            <w:tcW w:w="1080" w:type="dxa"/>
            <w:vMerge w:val="continue"/>
            <w:tcBorders>
              <w:left w:val="single" w:color="auto" w:sz="4" w:space="0"/>
              <w:right w:val="single" w:color="auto" w:sz="4" w:space="0"/>
            </w:tcBorders>
            <w:noWrap w:val="0"/>
            <w:vAlign w:val="center"/>
          </w:tcPr>
          <w:p w14:paraId="078FB8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7BB6CF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1674.52</w:t>
            </w:r>
          </w:p>
        </w:tc>
        <w:tc>
          <w:tcPr>
            <w:tcW w:w="4304" w:type="dxa"/>
            <w:gridSpan w:val="4"/>
            <w:tcBorders>
              <w:top w:val="nil"/>
              <w:left w:val="nil"/>
              <w:bottom w:val="single" w:color="auto" w:sz="4" w:space="0"/>
              <w:right w:val="single" w:color="auto" w:sz="4" w:space="0"/>
            </w:tcBorders>
            <w:noWrap w:val="0"/>
            <w:vAlign w:val="center"/>
          </w:tcPr>
          <w:p w14:paraId="2EC534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1072.04</w:t>
            </w:r>
          </w:p>
        </w:tc>
      </w:tr>
      <w:tr w14:paraId="2B8599C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4FF87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B0E1E4D">
            <w:pPr>
              <w:keepNext w:val="0"/>
              <w:keepLines w:val="0"/>
              <w:pageBreakBefore w:val="0"/>
              <w:widowControl/>
              <w:kinsoku/>
              <w:wordWrap/>
              <w:overflowPunct/>
              <w:topLinePunct w:val="0"/>
              <w:autoSpaceDE/>
              <w:autoSpaceDN/>
              <w:bidi w:val="0"/>
              <w:adjustRightInd/>
              <w:snapToGrid/>
              <w:spacing w:line="320" w:lineRule="exact"/>
              <w:ind w:firstLine="800" w:firstLineChars="4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14:paraId="3709A83B">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555.53</w:t>
            </w:r>
          </w:p>
        </w:tc>
      </w:tr>
      <w:tr w14:paraId="4CAA8BA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85EA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5D9FBA8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14:paraId="5F47CC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29E64A36">
        <w:tblPrEx>
          <w:tblCellMar>
            <w:top w:w="0" w:type="dxa"/>
            <w:left w:w="108" w:type="dxa"/>
            <w:bottom w:w="0" w:type="dxa"/>
            <w:right w:w="108" w:type="dxa"/>
          </w:tblCellMar>
        </w:tblPrEx>
        <w:trPr>
          <w:trHeight w:val="404"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1F8F78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1ADAD5E8">
            <w:pPr>
              <w:keepNext w:val="0"/>
              <w:keepLines w:val="0"/>
              <w:pageBreakBefore w:val="0"/>
              <w:widowControl/>
              <w:kinsoku/>
              <w:wordWrap/>
              <w:overflowPunct/>
              <w:topLinePunct w:val="0"/>
              <w:autoSpaceDE/>
              <w:autoSpaceDN/>
              <w:bidi w:val="0"/>
              <w:adjustRightInd/>
              <w:snapToGrid/>
              <w:spacing w:line="320" w:lineRule="exact"/>
              <w:ind w:firstLine="1700" w:firstLineChars="85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0</w:t>
            </w:r>
          </w:p>
        </w:tc>
        <w:tc>
          <w:tcPr>
            <w:tcW w:w="4304" w:type="dxa"/>
            <w:gridSpan w:val="4"/>
            <w:tcBorders>
              <w:top w:val="nil"/>
              <w:left w:val="nil"/>
              <w:bottom w:val="single" w:color="auto" w:sz="4" w:space="0"/>
              <w:right w:val="single" w:color="auto" w:sz="4" w:space="0"/>
            </w:tcBorders>
            <w:noWrap w:val="0"/>
            <w:vAlign w:val="center"/>
          </w:tcPr>
          <w:p w14:paraId="35DCAFC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40B27275">
        <w:tblPrEx>
          <w:tblCellMar>
            <w:top w:w="0" w:type="dxa"/>
            <w:left w:w="108" w:type="dxa"/>
            <w:bottom w:w="0" w:type="dxa"/>
            <w:right w:w="108" w:type="dxa"/>
          </w:tblCellMar>
        </w:tblPrEx>
        <w:trPr>
          <w:trHeight w:val="51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55B86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290D47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4EE38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0DDDA0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1EB7D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1C8BC48F">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1.认真贯彻、执行国家和地方关于综合行政执法的政策、法规；</w:t>
            </w:r>
          </w:p>
          <w:p w14:paraId="1D726A20">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2.依法实施行政处罚，加强两站辖区内非法营运打击力度、规范两站辖区内的经营秩序和整顿管理等工作，协助市春运办做好一年一度的岳阳火车站、岳阳火车东站的春运工作；</w:t>
            </w:r>
          </w:p>
          <w:p w14:paraId="22B8EE0C">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3.为我市打造环境优美、秩序井然、干净整洁的窗口环境。　　</w:t>
            </w:r>
          </w:p>
        </w:tc>
        <w:tc>
          <w:tcPr>
            <w:tcW w:w="4304" w:type="dxa"/>
            <w:gridSpan w:val="4"/>
            <w:tcBorders>
              <w:top w:val="single" w:color="auto" w:sz="4" w:space="0"/>
              <w:left w:val="nil"/>
              <w:bottom w:val="single" w:color="auto" w:sz="4" w:space="0"/>
              <w:right w:val="single" w:color="auto" w:sz="4" w:space="0"/>
            </w:tcBorders>
            <w:noWrap w:val="0"/>
            <w:vAlign w:val="center"/>
          </w:tcPr>
          <w:p w14:paraId="3125D77C">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在岳阳火车站地区</w:t>
            </w:r>
            <w:r>
              <w:rPr>
                <w:rFonts w:hint="eastAsia" w:ascii="仿宋_GB2312" w:hAnsi="仿宋_GB2312" w:eastAsia="仿宋_GB2312" w:cs="仿宋_GB2312"/>
                <w:color w:val="000000"/>
                <w:sz w:val="20"/>
                <w:szCs w:val="20"/>
                <w:highlight w:val="none"/>
              </w:rPr>
              <w:t>认真贯彻、执行国家和地方关于综合行政执法的政策、法规</w:t>
            </w:r>
            <w:r>
              <w:rPr>
                <w:rFonts w:hint="eastAsia" w:ascii="仿宋_GB2312" w:hAnsi="仿宋_GB2312" w:eastAsia="仿宋_GB2312" w:cs="仿宋_GB2312"/>
                <w:color w:val="000000"/>
                <w:sz w:val="20"/>
                <w:szCs w:val="20"/>
                <w:highlight w:val="none"/>
                <w:lang w:eastAsia="zh-CN"/>
              </w:rPr>
              <w:t>，取得了良好的效果</w:t>
            </w:r>
            <w:r>
              <w:rPr>
                <w:rFonts w:hint="eastAsia" w:ascii="仿宋_GB2312" w:hAnsi="仿宋_GB2312" w:eastAsia="仿宋_GB2312" w:cs="仿宋_GB2312"/>
                <w:color w:val="000000"/>
                <w:sz w:val="20"/>
                <w:szCs w:val="20"/>
                <w:highlight w:val="none"/>
              </w:rPr>
              <w:t>；</w:t>
            </w:r>
          </w:p>
          <w:p w14:paraId="4485E778">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两站辖区内非法营运打击力度</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两站辖区内的经营秩序</w:t>
            </w:r>
            <w:r>
              <w:rPr>
                <w:rFonts w:hint="eastAsia" w:ascii="仿宋_GB2312" w:hAnsi="仿宋_GB2312" w:eastAsia="仿宋_GB2312" w:cs="仿宋_GB2312"/>
                <w:color w:val="000000"/>
                <w:sz w:val="20"/>
                <w:szCs w:val="20"/>
                <w:highlight w:val="none"/>
                <w:lang w:eastAsia="zh-CN"/>
              </w:rPr>
              <w:t>进行了</w:t>
            </w:r>
            <w:r>
              <w:rPr>
                <w:rFonts w:hint="eastAsia" w:ascii="仿宋_GB2312" w:hAnsi="仿宋_GB2312" w:eastAsia="仿宋_GB2312" w:cs="仿宋_GB2312"/>
                <w:color w:val="000000"/>
                <w:sz w:val="20"/>
                <w:szCs w:val="20"/>
                <w:highlight w:val="none"/>
              </w:rPr>
              <w:t>整顿管理等工作，协助市春运办做好</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一年一度的岳阳火车站、岳阳火车东站的春运工作；</w:t>
            </w:r>
          </w:p>
          <w:p w14:paraId="04F3C1E8">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　　</w:t>
            </w:r>
          </w:p>
        </w:tc>
      </w:tr>
      <w:tr w14:paraId="27450D5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11C9B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CAB3F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7B95B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A5732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0DE9C4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2B64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85BF1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69D8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9372AB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4FA98B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FFD2F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BA462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088621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78F0645">
        <w:tblPrEx>
          <w:tblCellMar>
            <w:top w:w="0" w:type="dxa"/>
            <w:left w:w="108" w:type="dxa"/>
            <w:bottom w:w="0" w:type="dxa"/>
            <w:right w:w="108" w:type="dxa"/>
          </w:tblCellMar>
        </w:tblPrEx>
        <w:trPr>
          <w:trHeight w:val="4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D556D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D530D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F3EE2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14:paraId="668527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6B48A3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B3CF6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及时处理违规行为，强化行政管理，</w:t>
            </w:r>
            <w:r>
              <w:rPr>
                <w:rFonts w:hint="eastAsia" w:ascii="仿宋_GB2312" w:hAnsi="仿宋_GB2312" w:eastAsia="仿宋_GB2312" w:cs="仿宋_GB2312"/>
                <w:color w:val="000000"/>
                <w:sz w:val="20"/>
                <w:szCs w:val="20"/>
                <w:highlight w:val="none"/>
              </w:rPr>
              <w:t>案件办结率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44EC8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AE7FD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883529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16E05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EF3C5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C3EAA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5889B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FAA07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0003A9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39179A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eastAsia="zh-CN"/>
              </w:rPr>
              <w:t>非税收入</w:t>
            </w:r>
            <w:r>
              <w:rPr>
                <w:rFonts w:hint="eastAsia" w:ascii="仿宋_GB2312" w:hAnsi="仿宋_GB2312" w:eastAsia="仿宋_GB2312" w:cs="仿宋_GB2312"/>
                <w:color w:val="auto"/>
                <w:sz w:val="20"/>
                <w:szCs w:val="20"/>
                <w:highlight w:val="none"/>
              </w:rPr>
              <w:t>征收</w:t>
            </w:r>
            <w:r>
              <w:rPr>
                <w:rFonts w:hint="eastAsia" w:ascii="仿宋_GB2312" w:hAnsi="仿宋_GB2312" w:eastAsia="仿宋_GB2312" w:cs="仿宋_GB2312"/>
                <w:color w:val="auto"/>
                <w:sz w:val="20"/>
                <w:szCs w:val="20"/>
                <w:highlight w:val="none"/>
                <w:lang w:eastAsia="zh-CN"/>
              </w:rPr>
              <w:t>计划</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3DC25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25万元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D6513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11.32万元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7B24BB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124C5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EE735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随着管理力度的加大，非法营运现象大幅减少。下一步将合理预计下一年工作情况，调整非税收计划金额。</w:t>
            </w:r>
          </w:p>
        </w:tc>
      </w:tr>
      <w:tr w14:paraId="3BA7965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FBF3B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8A077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76E455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F6ED89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全年综合整治工作率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6AFA0DC">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086DB50">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010FB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FA2EDF4">
            <w:pPr>
              <w:keepNext w:val="0"/>
              <w:keepLines w:val="0"/>
              <w:pageBreakBefore w:val="0"/>
              <w:widowControl/>
              <w:kinsoku/>
              <w:wordWrap/>
              <w:overflowPunct/>
              <w:topLinePunct w:val="0"/>
              <w:autoSpaceDE/>
              <w:autoSpaceDN/>
              <w:bidi w:val="0"/>
              <w:adjustRightInd/>
              <w:snapToGrid/>
              <w:spacing w:line="32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F1591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7CBBCE9B">
        <w:tblPrEx>
          <w:tblCellMar>
            <w:top w:w="0" w:type="dxa"/>
            <w:left w:w="108" w:type="dxa"/>
            <w:bottom w:w="0" w:type="dxa"/>
            <w:right w:w="108" w:type="dxa"/>
          </w:tblCellMar>
        </w:tblPrEx>
        <w:trPr>
          <w:trHeight w:val="70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2E165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74F10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E10E7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52C4AE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便民服务率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C776B2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60CBC1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75124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615CD7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8B512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2155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B423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3C083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50193B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01890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达到国家文明</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卫生城市标准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4CCD8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行业相关标准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1C1CA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w:t>
            </w:r>
            <w:r>
              <w:rPr>
                <w:rFonts w:hint="eastAsia" w:ascii="仿宋_GB2312" w:hAnsi="仿宋_GB2312" w:eastAsia="仿宋_GB2312" w:cs="仿宋_GB2312"/>
                <w:color w:val="000000"/>
                <w:sz w:val="20"/>
                <w:szCs w:val="20"/>
                <w:highlight w:val="none"/>
                <w:lang w:eastAsia="zh-CN"/>
              </w:rPr>
              <w:t>管理</w:t>
            </w:r>
            <w:r>
              <w:rPr>
                <w:rFonts w:hint="eastAsia" w:ascii="仿宋_GB2312" w:hAnsi="仿宋_GB2312" w:eastAsia="仿宋_GB2312" w:cs="仿宋_GB2312"/>
                <w:color w:val="000000"/>
                <w:sz w:val="20"/>
                <w:szCs w:val="20"/>
                <w:highlight w:val="none"/>
              </w:rPr>
              <w:t>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8A46FE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B2CFE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912F8A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11655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E02EE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637D2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7526AD8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67B9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完成市委市政府交办的中心工作和和重大迎检工作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C289E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36846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55B251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4D4ABC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3CDD4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0132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2F221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8BDA3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35C095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5B533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按照计划和进度完成全年工作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5D1D9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939D9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90206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EF4799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F4AA8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C625A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1EF05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67D10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3872E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12B57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B266B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1880B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97EE6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FAAC74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7D80D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406E3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6441B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874F7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49C499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18CF0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6B99E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不超年度预算</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B612E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未超预算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7E4B9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8C83A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4691A0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1B0EC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24EF8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B42EB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333EF79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BF086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A0D9D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652B5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945CD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2C192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6D3BC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B806A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6013A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00E0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1926F8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E92BE1">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18F9F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88E17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6D31F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2CB44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BB72F5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9510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5027C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07780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7027F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14:paraId="562BD9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4B92B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BE886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01EDF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30BC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48165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产生一定的间接经济效益</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3AC68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吸引外来游客旅游</w:t>
            </w:r>
            <w:r>
              <w:rPr>
                <w:rFonts w:hint="eastAsia" w:ascii="仿宋_GB2312" w:hAnsi="仿宋_GB2312" w:eastAsia="仿宋_GB2312" w:cs="仿宋_GB2312"/>
                <w:kern w:val="0"/>
                <w:sz w:val="20"/>
                <w:szCs w:val="20"/>
                <w:lang w:eastAsia="zh-CN"/>
              </w:rPr>
              <w:t>和</w:t>
            </w:r>
            <w:r>
              <w:rPr>
                <w:rFonts w:hint="eastAsia" w:ascii="仿宋_GB2312" w:hAnsi="仿宋_GB2312" w:eastAsia="仿宋_GB2312" w:cs="仿宋_GB2312"/>
                <w:kern w:val="0"/>
                <w:sz w:val="20"/>
                <w:szCs w:val="20"/>
              </w:rPr>
              <w:t>外</w:t>
            </w:r>
            <w:r>
              <w:rPr>
                <w:rFonts w:hint="eastAsia" w:ascii="仿宋_GB2312" w:hAnsi="仿宋_GB2312" w:eastAsia="仿宋_GB2312" w:cs="仿宋_GB2312"/>
                <w:kern w:val="0"/>
                <w:sz w:val="20"/>
                <w:szCs w:val="20"/>
                <w:lang w:eastAsia="zh-CN"/>
              </w:rPr>
              <w:t>商投资</w:t>
            </w: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85097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E7489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EEB6F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AA9D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BEDE2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ABAEF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F290C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2191E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1D0CD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两站地区秩序管理有序</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48FA8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提升火车站地区管理水平，创造良好的出行环境。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68809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为市民创造了良好的出行环境</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EAA973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AD3D2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9712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还有待进一步加强管理，下一步加强管理，为市民创造更好的出行环境。</w:t>
            </w:r>
          </w:p>
        </w:tc>
      </w:tr>
      <w:tr w14:paraId="0A4AC28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3CE4F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1A1EE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49E80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D81D2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041E1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是否对改善生态环境起到一定作用</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55248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打造环境优美、秩序井然、干净整洁的“窗口”形象。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300FC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火车站地区环境</w:t>
            </w:r>
            <w:r>
              <w:rPr>
                <w:rFonts w:hint="eastAsia" w:ascii="仿宋_GB2312" w:hAnsi="仿宋_GB2312" w:eastAsia="仿宋_GB2312" w:cs="仿宋_GB2312"/>
                <w:kern w:val="0"/>
                <w:sz w:val="20"/>
                <w:szCs w:val="20"/>
              </w:rPr>
              <w:t>优美、秩序井然、干净整洁</w:t>
            </w:r>
            <w:r>
              <w:rPr>
                <w:rFonts w:hint="eastAsia" w:ascii="仿宋_GB2312" w:hAnsi="仿宋_GB2312" w:eastAsia="仿宋_GB2312" w:cs="仿宋_GB2312"/>
                <w:kern w:val="0"/>
                <w:sz w:val="20"/>
                <w:szCs w:val="20"/>
                <w:lang w:eastAsia="zh-CN"/>
              </w:rPr>
              <w:t>。</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6ED8C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278BC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9FAD8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27A066">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D4AB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E87A9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20040F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8ACFC4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提升城市窗口形象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CD24C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进一步提升城市窗口形象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47CA0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两站地区管理有序，城市窗口形象有效提升。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5F252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487E53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55742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908338">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1D1FB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4F520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2EAE37A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D8CEAD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两站安全管理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F9F32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管理规范，避免安全事故发生</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D7E67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保障两站安全运行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9CD01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FFC689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2968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AA13B8">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44223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0116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F50EB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A2105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E44B3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9A154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F9785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E64756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81D98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B05F1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0A6C3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6F0670">
        <w:tblPrEx>
          <w:tblCellMar>
            <w:top w:w="0" w:type="dxa"/>
            <w:left w:w="108" w:type="dxa"/>
            <w:bottom w:w="0" w:type="dxa"/>
            <w:right w:w="108" w:type="dxa"/>
          </w:tblCellMar>
        </w:tblPrEx>
        <w:trPr>
          <w:trHeight w:val="44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14:paraId="1FBC1E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63566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F7AD98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rPr>
              <w:t>96.7</w:t>
            </w:r>
            <w:r>
              <w:rPr>
                <w:rFonts w:hint="eastAsia" w:ascii="仿宋_GB2312" w:hAnsi="仿宋_GB2312" w:eastAsia="仿宋_GB2312" w:cs="仿宋_GB2312"/>
                <w:color w:val="000000"/>
                <w:sz w:val="20"/>
                <w:szCs w:val="20"/>
                <w:highlight w:val="none"/>
                <w:lang w:val="en-US" w:eastAsia="zh-CN"/>
              </w:rPr>
              <w:t>2</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AD9A3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39F37F6">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default" w:ascii="Times New Roman" w:hAnsi="Times New Roman" w:eastAsia="仿宋_GB2312" w:cs="Times New Roman"/>
          <w:sz w:val="22"/>
          <w:highlight w:val="none"/>
        </w:rPr>
      </w:pPr>
    </w:p>
    <w:p w14:paraId="4D7655E3">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14:paraId="61C567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65D6C1DF">
      <w:pPr>
        <w:jc w:val="center"/>
        <w:rPr>
          <w:rFonts w:hint="eastAsia" w:ascii="方正小标宋简体" w:hAnsi="方正小标宋简体" w:eastAsia="方正小标宋简体" w:cs="方正小标宋简体"/>
          <w:b w:val="0"/>
          <w:bCs w:val="0"/>
          <w:sz w:val="44"/>
          <w:szCs w:val="44"/>
        </w:rPr>
      </w:pPr>
    </w:p>
    <w:p w14:paraId="5F67BD26">
      <w:pPr>
        <w:keepNext w:val="0"/>
        <w:keepLines w:val="0"/>
        <w:pageBreakBefore w:val="0"/>
        <w:kinsoku/>
        <w:wordWrap/>
        <w:overflowPunct/>
        <w:topLinePunct w:val="0"/>
        <w:autoSpaceDE/>
        <w:autoSpaceDN/>
        <w:bidi w:val="0"/>
        <w:adjustRightInd/>
        <w:spacing w:line="58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auto"/>
          <w:sz w:val="44"/>
          <w:szCs w:val="44"/>
        </w:rPr>
        <w:t>岳阳市城市管理综合行政执法支队站场执法大队</w:t>
      </w:r>
      <w:r>
        <w:rPr>
          <w:rFonts w:hint="eastAsia" w:asciiTheme="majorEastAsia" w:hAnsiTheme="majorEastAsia" w:eastAsiaTheme="majorEastAsia" w:cstheme="majorEastAsia"/>
          <w:b/>
          <w:bCs/>
          <w:sz w:val="44"/>
          <w:szCs w:val="44"/>
          <w:lang w:eastAsia="zh-CN"/>
        </w:rPr>
        <w:t>项目</w:t>
      </w:r>
      <w:r>
        <w:rPr>
          <w:rFonts w:hint="eastAsia" w:asciiTheme="majorEastAsia" w:hAnsiTheme="majorEastAsia" w:eastAsiaTheme="majorEastAsia" w:cstheme="majorEastAsia"/>
          <w:b/>
          <w:bCs/>
          <w:sz w:val="44"/>
          <w:szCs w:val="44"/>
        </w:rPr>
        <w:t>支出绩效自评报告</w:t>
      </w:r>
    </w:p>
    <w:p w14:paraId="283E001F">
      <w:pPr>
        <w:pStyle w:val="2"/>
        <w:keepNext w:val="0"/>
        <w:keepLines w:val="0"/>
        <w:pageBreakBefore w:val="0"/>
        <w:kinsoku/>
        <w:wordWrap/>
        <w:overflowPunct/>
        <w:topLinePunct w:val="0"/>
        <w:autoSpaceDE/>
        <w:autoSpaceDN/>
        <w:bidi w:val="0"/>
        <w:adjustRightInd/>
        <w:spacing w:line="580" w:lineRule="exact"/>
        <w:textAlignment w:val="auto"/>
        <w:rPr>
          <w:rFonts w:hint="eastAsia" w:ascii="方正小标宋简体" w:hAnsi="方正小标宋简体" w:eastAsia="方正小标宋简体" w:cs="方正小标宋简体"/>
          <w:b w:val="0"/>
          <w:bCs w:val="0"/>
          <w:sz w:val="32"/>
          <w:szCs w:val="32"/>
        </w:rPr>
      </w:pPr>
    </w:p>
    <w:p w14:paraId="1E84D13D">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right="0" w:rightChars="0" w:firstLine="643" w:firstLineChars="200"/>
        <w:jc w:val="left"/>
        <w:textAlignment w:val="auto"/>
        <w:rPr>
          <w:rFonts w:hint="eastAsia" w:ascii="华文楷体" w:hAnsi="华文楷体" w:eastAsia="华文楷体" w:cs="华文楷体"/>
          <w:b/>
          <w:bCs/>
          <w:sz w:val="32"/>
          <w:szCs w:val="32"/>
          <w:lang w:val="en" w:eastAsia="zh-CN"/>
        </w:rPr>
      </w:pPr>
      <w:r>
        <w:rPr>
          <w:rFonts w:hint="eastAsia" w:ascii="华文楷体" w:hAnsi="华文楷体" w:eastAsia="华文楷体" w:cs="华文楷体"/>
          <w:b/>
          <w:bCs/>
          <w:sz w:val="32"/>
          <w:szCs w:val="32"/>
          <w:lang w:val="en" w:eastAsia="zh-CN"/>
        </w:rPr>
        <w:t>项目基本情况</w:t>
      </w:r>
    </w:p>
    <w:p w14:paraId="349B3577">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eastAsia="仿宋_GB2312"/>
          <w:sz w:val="32"/>
          <w:szCs w:val="32"/>
          <w:lang w:val="en-US" w:eastAsia="zh-CN"/>
        </w:rPr>
      </w:pPr>
      <w:r>
        <w:rPr>
          <w:rFonts w:hint="eastAsia" w:ascii="CESI仿宋-GB2312" w:hAnsi="CESI仿宋-GB2312" w:eastAsia="CESI仿宋-GB2312" w:cs="CESI仿宋-GB2312"/>
          <w:b w:val="0"/>
          <w:bCs w:val="0"/>
          <w:color w:val="000000"/>
          <w:sz w:val="32"/>
          <w:szCs w:val="32"/>
          <w:u w:val="none"/>
        </w:rPr>
        <w:t>岳阳市城市管理综合行政执法支队</w:t>
      </w:r>
      <w:r>
        <w:rPr>
          <w:rFonts w:hint="eastAsia" w:ascii="CESI仿宋-GB2312" w:hAnsi="CESI仿宋-GB2312" w:eastAsia="CESI仿宋-GB2312" w:cs="CESI仿宋-GB2312"/>
          <w:sz w:val="32"/>
          <w:szCs w:val="32"/>
        </w:rPr>
        <w:t>站场执法大队</w:t>
      </w:r>
      <w:r>
        <w:rPr>
          <w:rFonts w:hint="eastAsia" w:ascii="CESI仿宋-GB2312" w:hAnsi="CESI仿宋-GB2312" w:eastAsia="CESI仿宋-GB2312" w:cs="CESI仿宋-GB2312"/>
          <w:b w:val="0"/>
          <w:bCs w:val="0"/>
          <w:sz w:val="32"/>
          <w:szCs w:val="32"/>
          <w:lang w:val="en-US" w:eastAsia="zh-CN"/>
        </w:rPr>
        <w:t>（下称“大队”）为</w:t>
      </w:r>
      <w:r>
        <w:rPr>
          <w:rFonts w:hint="eastAsia" w:ascii="CESI仿宋-GB2312" w:hAnsi="CESI仿宋-GB2312" w:eastAsia="CESI仿宋-GB2312" w:cs="CESI仿宋-GB2312"/>
          <w:b w:val="0"/>
          <w:bCs w:val="0"/>
          <w:color w:val="000000"/>
          <w:sz w:val="32"/>
          <w:szCs w:val="32"/>
          <w:u w:val="none"/>
        </w:rPr>
        <w:t>岳阳市城市管理综合行政执法支队</w:t>
      </w:r>
      <w:r>
        <w:rPr>
          <w:rFonts w:hint="eastAsia" w:ascii="CESI仿宋-GB2312" w:hAnsi="CESI仿宋-GB2312" w:eastAsia="CESI仿宋-GB2312" w:cs="CESI仿宋-GB2312"/>
          <w:b w:val="0"/>
          <w:bCs w:val="0"/>
          <w:color w:val="000000"/>
          <w:sz w:val="32"/>
          <w:szCs w:val="32"/>
          <w:u w:val="none"/>
          <w:lang w:eastAsia="zh-CN"/>
        </w:rPr>
        <w:t>直属</w:t>
      </w:r>
      <w:r>
        <w:rPr>
          <w:rFonts w:hint="eastAsia" w:ascii="CESI仿宋-GB2312" w:hAnsi="CESI仿宋-GB2312" w:eastAsia="CESI仿宋-GB2312" w:cs="CESI仿宋-GB2312"/>
          <w:b w:val="0"/>
          <w:bCs w:val="0"/>
          <w:sz w:val="32"/>
          <w:szCs w:val="32"/>
          <w:lang w:val="en-US" w:eastAsia="zh-CN"/>
        </w:rPr>
        <w:t>全额拨款事业单位。</w:t>
      </w:r>
      <w:r>
        <w:rPr>
          <w:rFonts w:hint="eastAsia" w:ascii="CESI仿宋-GB2312" w:hAnsi="CESI仿宋-GB2312" w:eastAsia="CESI仿宋-GB2312" w:cs="CESI仿宋-GB2312"/>
          <w:b w:val="0"/>
          <w:bCs w:val="0"/>
          <w:color w:val="auto"/>
          <w:sz w:val="32"/>
          <w:szCs w:val="32"/>
          <w:lang w:val="en-US" w:eastAsia="zh-CN"/>
        </w:rPr>
        <w:t>本年共有4个项目，其中城管事务经费和办案费主要用于</w:t>
      </w:r>
      <w:r>
        <w:rPr>
          <w:rFonts w:hint="eastAsia" w:ascii="仿宋_GB2312" w:hAnsi="仿宋_GB2312" w:eastAsia="仿宋_GB2312" w:cs="仿宋_GB2312"/>
          <w:color w:val="auto"/>
          <w:kern w:val="0"/>
          <w:sz w:val="32"/>
          <w:szCs w:val="32"/>
        </w:rPr>
        <w:t>岳阳火车站、岳阳火车东站地区的综合管理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开展综合执法并行使相对集中行政处罚权，以及协助市春运办做好</w:t>
      </w:r>
      <w:r>
        <w:rPr>
          <w:rFonts w:hint="eastAsia" w:ascii="仿宋_GB2312" w:hAnsi="仿宋_GB2312" w:eastAsia="仿宋_GB2312" w:cs="仿宋_GB2312"/>
          <w:color w:val="auto"/>
          <w:kern w:val="0"/>
          <w:sz w:val="32"/>
          <w:szCs w:val="32"/>
          <w:lang w:eastAsia="zh-CN"/>
        </w:rPr>
        <w:t>两</w:t>
      </w:r>
      <w:r>
        <w:rPr>
          <w:rFonts w:hint="eastAsia" w:ascii="仿宋_GB2312" w:hAnsi="仿宋_GB2312" w:eastAsia="仿宋_GB2312" w:cs="仿宋_GB2312"/>
          <w:color w:val="auto"/>
          <w:kern w:val="0"/>
          <w:sz w:val="32"/>
          <w:szCs w:val="32"/>
        </w:rPr>
        <w:t>站</w:t>
      </w:r>
      <w:r>
        <w:rPr>
          <w:rFonts w:hint="eastAsia" w:ascii="仿宋_GB2312" w:hAnsi="仿宋_GB2312" w:eastAsia="仿宋_GB2312" w:cs="仿宋_GB2312"/>
          <w:color w:val="auto"/>
          <w:kern w:val="0"/>
          <w:sz w:val="32"/>
          <w:szCs w:val="32"/>
          <w:lang w:eastAsia="zh-CN"/>
        </w:rPr>
        <w:t>地区</w:t>
      </w:r>
      <w:r>
        <w:rPr>
          <w:rFonts w:hint="eastAsia" w:ascii="仿宋_GB2312" w:hAnsi="仿宋_GB2312" w:eastAsia="仿宋_GB2312" w:cs="仿宋_GB2312"/>
          <w:color w:val="auto"/>
          <w:kern w:val="0"/>
          <w:sz w:val="32"/>
          <w:szCs w:val="32"/>
        </w:rPr>
        <w:t>春运工作，拟订并组织实施岳阳火车站地区应急预案</w:t>
      </w:r>
      <w:r>
        <w:rPr>
          <w:rFonts w:hint="eastAsia" w:ascii="仿宋_GB2312" w:hAnsi="仿宋_GB2312" w:eastAsia="仿宋_GB2312" w:cs="仿宋_GB2312"/>
          <w:color w:val="auto"/>
          <w:kern w:val="0"/>
          <w:sz w:val="32"/>
          <w:szCs w:val="32"/>
          <w:lang w:eastAsia="zh-CN"/>
        </w:rPr>
        <w:t>等工作经费保障</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以及</w:t>
      </w:r>
      <w:r>
        <w:rPr>
          <w:rFonts w:hint="eastAsia" w:ascii="仿宋_GB2312" w:hAnsi="仿宋_GB2312" w:eastAsia="仿宋_GB2312" w:cs="仿宋_GB2312"/>
          <w:color w:val="auto"/>
          <w:kern w:val="0"/>
          <w:sz w:val="32"/>
          <w:szCs w:val="32"/>
          <w:lang w:val="en-US" w:eastAsia="zh-CN"/>
        </w:rPr>
        <w:t>机构改革后金凤桥管理处、通海路管理处、木里港管理处辖区范围内城市管理综合行政执法工作</w:t>
      </w:r>
      <w:r>
        <w:rPr>
          <w:rFonts w:hint="eastAsia" w:ascii="仿宋_GB2312" w:hAnsi="仿宋_GB2312" w:eastAsia="仿宋_GB2312" w:cs="仿宋_GB2312"/>
          <w:color w:val="auto"/>
          <w:kern w:val="0"/>
          <w:sz w:val="32"/>
          <w:szCs w:val="32"/>
          <w:lang w:eastAsia="zh-CN"/>
        </w:rPr>
        <w:t>经费保障</w:t>
      </w:r>
      <w:r>
        <w:rPr>
          <w:rFonts w:hint="eastAsia" w:ascii="仿宋_GB2312" w:hAnsi="仿宋_GB2312" w:eastAsia="仿宋_GB2312" w:cs="仿宋_GB2312"/>
          <w:color w:val="auto"/>
          <w:kern w:val="0"/>
          <w:sz w:val="32"/>
          <w:szCs w:val="32"/>
          <w:lang w:val="en-US" w:eastAsia="zh-CN"/>
        </w:rPr>
        <w:t>；城市广场运营维护费主要火车站广场和火车东站广场水电、拖车、电瓶巡逻车辆的正常运转保障；协管员经费主要用于行政执法辅助人员工资及各类社会保障缴费支出。</w:t>
      </w:r>
    </w:p>
    <w:p w14:paraId="55474666">
      <w:pPr>
        <w:keepNext w:val="0"/>
        <w:keepLines w:val="0"/>
        <w:pageBreakBefore w:val="0"/>
        <w:numPr>
          <w:ilvl w:val="0"/>
          <w:numId w:val="4"/>
        </w:numPr>
        <w:kinsoku/>
        <w:wordWrap/>
        <w:overflowPunct/>
        <w:topLinePunct w:val="0"/>
        <w:autoSpaceDE/>
        <w:autoSpaceDN/>
        <w:bidi w:val="0"/>
        <w:adjustRightInd/>
        <w:spacing w:line="580" w:lineRule="exact"/>
        <w:ind w:left="0" w:leftChars="0" w:firstLine="643"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项目资金使用及管理情况</w:t>
      </w:r>
    </w:p>
    <w:p w14:paraId="66DD0FA7">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2024年度市财政预算批复，大队项目年初预算总金额为343.50万元，年中预算金额调整至564.04万元，本年实际支出总金额为555.53万元，其中协管员经费支出176.78万元、城管事务经费支出244.65万元、办案费支出32.25万元、</w:t>
      </w:r>
      <w:r>
        <w:rPr>
          <w:rFonts w:hint="eastAsia" w:ascii="仿宋_GB2312" w:hAnsi="仿宋_GB2312" w:eastAsia="仿宋_GB2312" w:cs="仿宋_GB2312"/>
          <w:color w:val="auto"/>
          <w:kern w:val="0"/>
          <w:sz w:val="32"/>
          <w:szCs w:val="32"/>
          <w:lang w:val="en-US" w:eastAsia="zh-CN"/>
        </w:rPr>
        <w:t>城市广场运营维护费支出66.50万元、以及按项目核算的其他运转类经费支出35.35万元，</w:t>
      </w:r>
      <w:r>
        <w:rPr>
          <w:rFonts w:hint="eastAsia" w:ascii="CESI仿宋-GB2312" w:hAnsi="CESI仿宋-GB2312" w:eastAsia="CESI仿宋-GB2312" w:cs="CESI仿宋-GB2312"/>
          <w:b w:val="0"/>
          <w:bCs w:val="0"/>
          <w:sz w:val="32"/>
          <w:szCs w:val="32"/>
          <w:lang w:val="en-US" w:eastAsia="zh-CN"/>
        </w:rPr>
        <w:t>主要用于行政执法辅助协管员工资和社保支出、执法保障相关支出、法律法规宣传、法律文书制作、业务培训、拖车租赁、广场水电费及设施设备维护等支出。</w:t>
      </w:r>
    </w:p>
    <w:p w14:paraId="066D06D8">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大队进一步修订完善了</w:t>
      </w:r>
      <w:r>
        <w:rPr>
          <w:rFonts w:hint="eastAsia" w:ascii="CESI仿宋-GB2312" w:hAnsi="CESI仿宋-GB2312" w:eastAsia="CESI仿宋-GB2312" w:cs="CESI仿宋-GB2312"/>
          <w:sz w:val="32"/>
          <w:szCs w:val="32"/>
          <w:lang w:val="en-US" w:eastAsia="zh-CN"/>
        </w:rPr>
        <w:t>内部控制管理制度，严格按照《财务管理制度》、《内部控制手册》和《政府采购内控制度》等规章制度执行，</w:t>
      </w:r>
      <w:r>
        <w:rPr>
          <w:rFonts w:hint="eastAsia" w:ascii="仿宋_GB2312" w:hAnsi="仿宋_GB2312" w:eastAsia="仿宋_GB2312" w:cs="仿宋_GB2312"/>
          <w:bCs/>
          <w:sz w:val="32"/>
          <w:szCs w:val="32"/>
          <w:lang w:val="en-US" w:eastAsia="zh-CN"/>
        </w:rPr>
        <w:t>专项资金管理经依法批准的预算执行，按照专款专用的原则，进行日常财务管理和核算，配合市财政、监察和审计等部门对项目专项资金的使用和管理情况进行监督检查，并开展绩效评价工作。</w:t>
      </w:r>
    </w:p>
    <w:p w14:paraId="21E911DA">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3"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项目组织实施情况</w:t>
      </w:r>
    </w:p>
    <w:p w14:paraId="4C86DA2A">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sz w:val="32"/>
          <w:szCs w:val="32"/>
          <w:lang w:val="en-US" w:eastAsia="zh-CN"/>
        </w:rPr>
        <w:t>根据大队内设机构设置和科室职责，实行业务归口管理，授权审批的制度，重大业务费用支出由业务科室提出申请，并进行必要的事前绩效评估后，报大队分管领导审核，送财务部确定资金来源，再呈报大队党支部研究决策，通过后按相关规定组织实施。项目实施完成后，认真履行验收程序，验收合格后再进行相关费用结算。</w:t>
      </w:r>
    </w:p>
    <w:p w14:paraId="64F557E7">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3" w:firstLineChars="200"/>
        <w:jc w:val="left"/>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综合评价情况评价结论</w:t>
      </w:r>
    </w:p>
    <w:p w14:paraId="14E3E3EC">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firstLine="64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〔2020〕4号）和《岳阳市财政局关于印发&lt;岳阳市市级预算部门绩效自评操作规程&gt;的通知》（岳财函〔2022〕209号）等相关文件精神</w:t>
      </w:r>
      <w:r>
        <w:rPr>
          <w:rFonts w:hint="eastAsia" w:ascii="CESI仿宋-GB2312" w:hAnsi="CESI仿宋-GB2312" w:eastAsia="CESI仿宋-GB2312" w:cs="CESI仿宋-GB2312"/>
          <w:b w:val="0"/>
          <w:bCs w:val="0"/>
          <w:sz w:val="32"/>
          <w:szCs w:val="32"/>
          <w:lang w:val="en-US" w:eastAsia="zh-CN"/>
        </w:rPr>
        <w:t>，大队绩效评价小组结合</w:t>
      </w:r>
      <w:r>
        <w:rPr>
          <w:rFonts w:hint="eastAsia" w:ascii="仿宋_GB2312" w:hAnsi="仿宋_GB2312" w:eastAsia="仿宋_GB2312" w:cs="仿宋_GB2312"/>
          <w:sz w:val="32"/>
          <w:szCs w:val="32"/>
        </w:rPr>
        <w:t>财政部门预算批复、</w:t>
      </w:r>
      <w:r>
        <w:rPr>
          <w:rFonts w:hint="eastAsia" w:ascii="仿宋_GB2312" w:hAnsi="仿宋_GB2312" w:eastAsia="仿宋_GB2312" w:cs="仿宋_GB2312"/>
          <w:sz w:val="32"/>
          <w:szCs w:val="32"/>
          <w:lang w:eastAsia="zh-CN"/>
        </w:rPr>
        <w:t>项目绩效目标、</w:t>
      </w:r>
      <w:r>
        <w:rPr>
          <w:rFonts w:hint="eastAsia" w:ascii="仿宋_GB2312" w:hAnsi="仿宋_GB2312" w:eastAsia="仿宋_GB2312" w:cs="仿宋_GB2312"/>
          <w:sz w:val="32"/>
          <w:szCs w:val="32"/>
        </w:rPr>
        <w:t>年度预算执行情况</w:t>
      </w:r>
      <w:r>
        <w:rPr>
          <w:rFonts w:hint="eastAsia" w:ascii="仿宋_GB2312" w:hAnsi="仿宋_GB2312" w:eastAsia="仿宋_GB2312" w:cs="仿宋_GB2312"/>
          <w:sz w:val="32"/>
          <w:szCs w:val="32"/>
          <w:lang w:eastAsia="zh-CN"/>
        </w:rPr>
        <w:t>等资料认真进行了定量与定性分析，</w:t>
      </w:r>
      <w:r>
        <w:rPr>
          <w:rFonts w:hint="eastAsia" w:ascii="CESI仿宋-GB2312" w:hAnsi="CESI仿宋-GB2312" w:eastAsia="CESI仿宋-GB2312" w:cs="CESI仿宋-GB2312"/>
          <w:b w:val="0"/>
          <w:bCs w:val="0"/>
          <w:sz w:val="32"/>
          <w:szCs w:val="32"/>
          <w:lang w:val="en-US" w:eastAsia="zh-CN"/>
        </w:rPr>
        <w:t>一致认为2024年度项目资金管理规范，预算执行率达98.49%，遵守了相关法律法规，资金支出效益好，圆满完成了年初绩效目标，项目评价得分均在96分以上，等级均为优秀。</w:t>
      </w:r>
    </w:p>
    <w:p w14:paraId="0B03924C">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3" w:firstLineChars="200"/>
        <w:jc w:val="left"/>
        <w:textAlignment w:val="auto"/>
        <w:rPr>
          <w:rFonts w:hint="eastAsia" w:ascii="华文楷体" w:hAnsi="华文楷体" w:eastAsia="华文楷体" w:cs="华文楷体"/>
          <w:b/>
          <w:bCs/>
          <w:color w:val="auto"/>
          <w:sz w:val="32"/>
          <w:szCs w:val="32"/>
          <w:lang w:val="en-US" w:eastAsia="zh-CN"/>
        </w:rPr>
      </w:pPr>
      <w:r>
        <w:rPr>
          <w:rFonts w:hint="eastAsia" w:ascii="华文楷体" w:hAnsi="华文楷体" w:eastAsia="华文楷体" w:cs="华文楷体"/>
          <w:b/>
          <w:bCs/>
          <w:color w:val="auto"/>
          <w:sz w:val="32"/>
          <w:szCs w:val="32"/>
          <w:lang w:val="en-US" w:eastAsia="zh-CN"/>
        </w:rPr>
        <w:t>项目主要绩效情况分析</w:t>
      </w:r>
    </w:p>
    <w:p w14:paraId="7A17822C">
      <w:pPr>
        <w:keepNext w:val="0"/>
        <w:keepLines w:val="0"/>
        <w:pageBreakBefore w:val="0"/>
        <w:kinsoku/>
        <w:wordWrap/>
        <w:overflowPunct/>
        <w:topLinePunct w:val="0"/>
        <w:autoSpaceDE/>
        <w:autoSpaceDN/>
        <w:bidi w:val="0"/>
        <w:adjustRightInd/>
        <w:spacing w:before="120" w:beforeLines="50" w:line="580" w:lineRule="exact"/>
        <w:ind w:left="20" w:leftChars="7" w:right="11"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 w:eastAsia="zh-CN"/>
        </w:rPr>
        <w:t>2024</w:t>
      </w:r>
      <w:r>
        <w:rPr>
          <w:rFonts w:hint="eastAsia" w:ascii="CESI仿宋-GB2312" w:hAnsi="CESI仿宋-GB2312" w:eastAsia="CESI仿宋-GB2312" w:cs="CESI仿宋-GB2312"/>
          <w:b w:val="0"/>
          <w:bCs w:val="0"/>
          <w:sz w:val="32"/>
          <w:szCs w:val="32"/>
          <w:lang w:val="en" w:eastAsia="zh-CN"/>
        </w:rPr>
        <w:t>年，</w:t>
      </w:r>
      <w:r>
        <w:rPr>
          <w:rFonts w:hint="eastAsia" w:ascii="CESI仿宋-GB2312" w:hAnsi="CESI仿宋-GB2312" w:eastAsia="CESI仿宋-GB2312" w:cs="CESI仿宋-GB2312"/>
          <w:b w:val="0"/>
          <w:bCs w:val="0"/>
          <w:sz w:val="32"/>
          <w:szCs w:val="32"/>
          <w:lang w:val="en-US" w:eastAsia="zh-CN"/>
        </w:rPr>
        <w:t>通过多种渠道，以多种方式进行城市管理相关政策法规宣传，并</w:t>
      </w:r>
      <w:r>
        <w:rPr>
          <w:rFonts w:hint="eastAsia" w:ascii="CESI仿宋-GB2312" w:hAnsi="CESI仿宋-GB2312" w:eastAsia="CESI仿宋-GB2312" w:cs="CESI仿宋-GB2312"/>
          <w:spacing w:val="6"/>
          <w:sz w:val="32"/>
          <w:szCs w:val="32"/>
        </w:rPr>
        <w:t>与业务相关部门、管理服务对象和社会各界面对面交流，耐心讲解城市管理相关知识，认真倾听他们对城市管理方面的意见建议，努力营造“人民城市人民管</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spacing w:val="6"/>
          <w:sz w:val="32"/>
          <w:szCs w:val="32"/>
        </w:rPr>
        <w:t>管好城市为人民”的良好氛围。</w:t>
      </w:r>
      <w:r>
        <w:rPr>
          <w:rFonts w:hint="eastAsia" w:ascii="CESI仿宋-GB2312" w:hAnsi="CESI仿宋-GB2312" w:eastAsia="CESI仿宋-GB2312" w:cs="CESI仿宋-GB2312"/>
          <w:spacing w:val="6"/>
          <w:sz w:val="32"/>
          <w:szCs w:val="32"/>
          <w:lang w:val="en-US" w:eastAsia="zh-CN"/>
        </w:rPr>
        <w:t>2023年</w:t>
      </w:r>
      <w:r>
        <w:rPr>
          <w:rFonts w:hint="eastAsia" w:ascii="CESI仿宋-GB2312" w:hAnsi="CESI仿宋-GB2312" w:eastAsia="CESI仿宋-GB2312" w:cs="CESI仿宋-GB2312"/>
          <w:spacing w:val="6"/>
          <w:sz w:val="32"/>
          <w:szCs w:val="32"/>
        </w:rPr>
        <w:t>11月27日，四部门联合印发《岳阳市火车站地区交通运输打非治违专项整治行动方案》，开始为期一百天的以整治喊客拉客、非法营运、出租车（网约车）违规经营等行为重点的联合执法工作</w:t>
      </w:r>
      <w:r>
        <w:rPr>
          <w:rFonts w:hint="eastAsia" w:ascii="CESI仿宋-GB2312" w:hAnsi="CESI仿宋-GB2312" w:eastAsia="CESI仿宋-GB2312" w:cs="CESI仿宋-GB2312"/>
          <w:spacing w:val="6"/>
          <w:sz w:val="32"/>
          <w:szCs w:val="32"/>
          <w:lang w:eastAsia="zh-CN"/>
        </w:rPr>
        <w:t>，大力</w:t>
      </w:r>
      <w:r>
        <w:rPr>
          <w:rFonts w:hint="eastAsia" w:ascii="CESI仿宋-GB2312" w:hAnsi="CESI仿宋-GB2312" w:eastAsia="CESI仿宋-GB2312" w:cs="CESI仿宋-GB2312"/>
          <w:spacing w:val="6"/>
          <w:sz w:val="32"/>
          <w:szCs w:val="32"/>
        </w:rPr>
        <w:t>整治喊客拉客</w:t>
      </w:r>
      <w:r>
        <w:rPr>
          <w:rFonts w:hint="eastAsia" w:ascii="CESI仿宋-GB2312" w:hAnsi="CESI仿宋-GB2312" w:eastAsia="CESI仿宋-GB2312" w:cs="CESI仿宋-GB2312"/>
          <w:spacing w:val="6"/>
          <w:sz w:val="32"/>
          <w:szCs w:val="32"/>
          <w:lang w:eastAsia="zh-CN"/>
        </w:rPr>
        <w:t>现现象</w:t>
      </w:r>
      <w:r>
        <w:rPr>
          <w:rFonts w:hint="eastAsia" w:ascii="CESI仿宋-GB2312" w:hAnsi="CESI仿宋-GB2312" w:eastAsia="CESI仿宋-GB2312" w:cs="CESI仿宋-GB2312"/>
          <w:spacing w:val="6"/>
          <w:sz w:val="32"/>
          <w:szCs w:val="32"/>
        </w:rPr>
        <w:t>。期间召开联席会议6次、拘留喊客拉客违法人员2人、采集喊客拉客违法人员证据22份、查处各类违法车辆36台、刊发法制宣传教育公告4处、设置客运引导标识标牌24处，各执法部门群策群力协同协作，将责任压实到执法人员，将压力传导到客运企业，高站位、多措施、严纪律推进各项工作，高质量完成了整治行动方案明确的各项目标任务，喊客拉客现象得到极大遏制</w:t>
      </w:r>
      <w:r>
        <w:rPr>
          <w:rFonts w:hint="eastAsia" w:ascii="CESI仿宋-GB2312" w:hAnsi="CESI仿宋-GB2312" w:eastAsia="CESI仿宋-GB2312" w:cs="CESI仿宋-GB2312"/>
          <w:spacing w:val="6"/>
          <w:sz w:val="32"/>
          <w:szCs w:val="32"/>
          <w:lang w:eastAsia="zh-CN"/>
        </w:rPr>
        <w:t>，火车站两站地区管理秩序明显改善</w:t>
      </w:r>
      <w:r>
        <w:rPr>
          <w:rFonts w:hint="eastAsia" w:ascii="CESI仿宋-GB2312" w:hAnsi="CESI仿宋-GB2312" w:eastAsia="CESI仿宋-GB2312" w:cs="CESI仿宋-GB2312"/>
          <w:spacing w:val="6"/>
          <w:sz w:val="32"/>
          <w:szCs w:val="32"/>
        </w:rPr>
        <w:t>。</w:t>
      </w:r>
      <w:r>
        <w:rPr>
          <w:rFonts w:hint="eastAsia" w:ascii="CESI仿宋-GB2312" w:hAnsi="CESI仿宋-GB2312" w:eastAsia="CESI仿宋-GB2312" w:cs="CESI仿宋-GB2312"/>
          <w:b w:val="0"/>
          <w:bCs w:val="0"/>
          <w:sz w:val="32"/>
          <w:szCs w:val="32"/>
          <w:lang w:val="en-US" w:eastAsia="zh-CN"/>
        </w:rPr>
        <w:t>城市管理工作采取政策法规宣传与执法相结合的模式，获得了市民对城市管理工作的理解与支持，形成了良好的社会互动氛围，公众对城市管理工作认可度显著提升。</w:t>
      </w:r>
    </w:p>
    <w:p w14:paraId="31ADD734">
      <w:pPr>
        <w:keepNext w:val="0"/>
        <w:keepLines w:val="0"/>
        <w:pageBreakBefore w:val="0"/>
        <w:kinsoku/>
        <w:wordWrap/>
        <w:overflowPunct/>
        <w:topLinePunct w:val="0"/>
        <w:autoSpaceDE/>
        <w:autoSpaceDN/>
        <w:bidi w:val="0"/>
        <w:adjustRightInd/>
        <w:spacing w:line="580" w:lineRule="exact"/>
        <w:ind w:firstLine="664"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CESI仿宋-GB2312" w:hAnsi="CESI仿宋-GB2312" w:eastAsia="CESI仿宋-GB2312" w:cs="CESI仿宋-GB2312"/>
          <w:spacing w:val="6"/>
          <w:sz w:val="32"/>
          <w:szCs w:val="32"/>
        </w:rPr>
        <w:t>全力做好春运、暑运、清明、五一等多个重大节假日客流高峰期间的站场秩序保障、客流有序疏散等工作，</w:t>
      </w:r>
      <w:r>
        <w:rPr>
          <w:rFonts w:hint="eastAsia" w:ascii="CESI仿宋-GB2312" w:hAnsi="CESI仿宋-GB2312" w:eastAsia="CESI仿宋-GB2312" w:cs="CESI仿宋-GB2312"/>
          <w:spacing w:val="6"/>
          <w:sz w:val="32"/>
          <w:szCs w:val="32"/>
          <w:lang w:eastAsia="zh-CN"/>
        </w:rPr>
        <w:t>并</w:t>
      </w:r>
      <w:r>
        <w:rPr>
          <w:rFonts w:hint="eastAsia" w:ascii="CESI仿宋-GB2312" w:hAnsi="CESI仿宋-GB2312" w:eastAsia="CESI仿宋-GB2312" w:cs="CESI仿宋-GB2312"/>
          <w:spacing w:val="6"/>
          <w:sz w:val="32"/>
          <w:szCs w:val="32"/>
        </w:rPr>
        <w:t>依托出站口“爱心驿站”和各值班岗亭竭诚为出行旅客提供志愿服务</w:t>
      </w:r>
      <w:r>
        <w:rPr>
          <w:rFonts w:hint="eastAsia" w:ascii="CESI仿宋-GB2312" w:hAnsi="CESI仿宋-GB2312" w:eastAsia="CESI仿宋-GB2312" w:cs="CESI仿宋-GB2312"/>
          <w:spacing w:val="6"/>
          <w:sz w:val="32"/>
          <w:szCs w:val="32"/>
          <w:lang w:eastAsia="zh-CN"/>
        </w:rPr>
        <w:t>。</w:t>
      </w:r>
      <w:r>
        <w:rPr>
          <w:rFonts w:hint="eastAsia" w:ascii="CESI仿宋-GB2312" w:hAnsi="CESI仿宋-GB2312" w:eastAsia="CESI仿宋-GB2312" w:cs="CESI仿宋-GB2312"/>
          <w:color w:val="333333"/>
          <w:kern w:val="0"/>
          <w:sz w:val="32"/>
          <w:szCs w:val="32"/>
          <w:lang w:val="en-US" w:eastAsia="zh-CN" w:bidi="ar-SA"/>
        </w:rPr>
        <w:t>同时，持续抓好便民服务，努力把火车站地区的“爱心驿站”打造成“劳动者港湾”、“歇脚地”、“暖心窝”，提供便民、利民的多元服务设施，</w:t>
      </w:r>
      <w:r>
        <w:rPr>
          <w:rFonts w:hint="eastAsia" w:ascii="仿宋_GB2312" w:hAnsi="仿宋_GB2312" w:eastAsia="仿宋_GB2312" w:cs="仿宋_GB2312"/>
          <w:color w:val="333333"/>
          <w:kern w:val="0"/>
          <w:sz w:val="32"/>
          <w:szCs w:val="32"/>
          <w:lang w:val="en-US" w:eastAsia="zh-CN" w:bidi="ar-SA"/>
        </w:rPr>
        <w:t>为过往旅客提供了安全舒适的出行环境，</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环境优美、秩序井然、干净整洁的窗口环境</w:t>
      </w:r>
      <w:r>
        <w:rPr>
          <w:rFonts w:hint="eastAsia" w:ascii="仿宋_GB2312" w:hAnsi="仿宋_GB2312" w:eastAsia="仿宋_GB2312" w:cs="仿宋_GB2312"/>
          <w:kern w:val="0"/>
          <w:sz w:val="32"/>
          <w:szCs w:val="32"/>
          <w:lang w:eastAsia="zh-CN"/>
        </w:rPr>
        <w:t>，得到市民和过往旅客的普遍赞誉</w:t>
      </w:r>
      <w:r>
        <w:rPr>
          <w:rFonts w:hint="eastAsia" w:ascii="仿宋_GB2312" w:hAnsi="仿宋_GB2312" w:eastAsia="仿宋_GB2312" w:cs="仿宋_GB2312"/>
          <w:color w:val="333333"/>
          <w:kern w:val="0"/>
          <w:sz w:val="32"/>
          <w:szCs w:val="32"/>
          <w:lang w:val="en-US" w:eastAsia="zh-CN" w:bidi="ar-SA"/>
        </w:rPr>
        <w:t>。</w:t>
      </w:r>
    </w:p>
    <w:p w14:paraId="5A56F368">
      <w:pPr>
        <w:pStyle w:val="2"/>
        <w:keepNext w:val="0"/>
        <w:keepLines w:val="0"/>
        <w:pageBreakBefore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color w:val="auto"/>
          <w:kern w:val="0"/>
          <w:sz w:val="32"/>
          <w:szCs w:val="32"/>
          <w:lang w:val="en-US" w:eastAsia="zh-CN"/>
        </w:rPr>
      </w:pPr>
      <w:r>
        <w:rPr>
          <w:rFonts w:hint="default"/>
          <w:sz w:val="32"/>
          <w:szCs w:val="32"/>
          <w:lang w:val="en" w:eastAsia="zh-CN"/>
        </w:rPr>
        <w:t xml:space="preserve">     2024</w:t>
      </w:r>
      <w:r>
        <w:rPr>
          <w:rFonts w:hint="eastAsia"/>
          <w:sz w:val="32"/>
          <w:szCs w:val="32"/>
          <w:lang w:val="en" w:eastAsia="zh-CN"/>
        </w:rPr>
        <w:t>年</w:t>
      </w:r>
      <w:r>
        <w:rPr>
          <w:rFonts w:hint="default"/>
          <w:sz w:val="32"/>
          <w:szCs w:val="32"/>
          <w:lang w:val="en" w:eastAsia="zh-CN"/>
        </w:rPr>
        <w:t>9</w:t>
      </w:r>
      <w:r>
        <w:rPr>
          <w:rFonts w:hint="eastAsia"/>
          <w:sz w:val="32"/>
          <w:szCs w:val="32"/>
          <w:lang w:val="en" w:eastAsia="zh-CN"/>
        </w:rPr>
        <w:t>月，城管执法机构改革后，大队在</w:t>
      </w:r>
      <w:r>
        <w:rPr>
          <w:rFonts w:hint="eastAsia" w:ascii="仿宋_GB2312" w:hAnsi="仿宋_GB2312" w:eastAsia="仿宋_GB2312" w:cs="仿宋_GB2312"/>
          <w:color w:val="auto"/>
          <w:kern w:val="0"/>
          <w:sz w:val="32"/>
          <w:szCs w:val="32"/>
          <w:lang w:val="en-US" w:eastAsia="zh-CN"/>
        </w:rPr>
        <w:t>金凤桥管理处、通海路管理处、木里港管理处辖区范围内认真履行职能。</w:t>
      </w:r>
    </w:p>
    <w:p w14:paraId="612E6BA3">
      <w:pPr>
        <w:pStyle w:val="3"/>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eastAsia" w:ascii="CESI仿宋-GB2312" w:hAnsi="CESI仿宋-GB2312" w:eastAsia="CESI仿宋-GB2312" w:cs="CESI仿宋-GB2312"/>
          <w:bCs/>
          <w:color w:val="auto"/>
          <w:kern w:val="2"/>
          <w:sz w:val="32"/>
          <w:szCs w:val="32"/>
          <w:lang w:val="en-US" w:eastAsia="zh-CN" w:bidi="ar-SA"/>
        </w:rPr>
      </w:pPr>
      <w:r>
        <w:rPr>
          <w:rFonts w:hint="eastAsia" w:ascii="仿宋" w:hAnsi="仿宋" w:eastAsia="仿宋" w:cs="仿宋"/>
          <w:sz w:val="32"/>
          <w:szCs w:val="32"/>
          <w:lang w:val="en-US" w:eastAsia="zh-CN"/>
        </w:rPr>
        <w:t>在茶山菜市场、翠碧山庄疏导点等重点路段和十五中、十九中等学校周边重点区域实行定点管理和机动巡查相结合，错时执勤与重点打击相结合，强化街面秩序整治。围绕节假日、CBA季前赛等重大活动加强市容秩序保障工作，在辖区开展市容综合整治行动</w:t>
      </w:r>
      <w:r>
        <w:rPr>
          <w:rFonts w:hint="eastAsia" w:eastAsia="仿宋" w:cs="仿宋"/>
          <w:sz w:val="32"/>
          <w:szCs w:val="32"/>
          <w:lang w:val="en-US" w:eastAsia="zh-CN"/>
        </w:rPr>
        <w:t>。针</w:t>
      </w:r>
      <w:r>
        <w:rPr>
          <w:rFonts w:hint="eastAsia" w:ascii="仿宋" w:hAnsi="仿宋" w:eastAsia="仿宋" w:cs="仿宋"/>
          <w:sz w:val="32"/>
          <w:szCs w:val="32"/>
          <w:lang w:val="en-US" w:eastAsia="zh-CN"/>
        </w:rPr>
        <w:t>对占压盲道、“僵尸车”等违法行为强化整治，</w:t>
      </w:r>
      <w:r>
        <w:rPr>
          <w:rFonts w:hint="eastAsia" w:eastAsia="仿宋" w:cs="仿宋"/>
          <w:sz w:val="32"/>
          <w:szCs w:val="32"/>
          <w:lang w:val="en-US" w:eastAsia="zh-CN"/>
        </w:rPr>
        <w:t>进行劝离与</w:t>
      </w:r>
      <w:r>
        <w:rPr>
          <w:rFonts w:hint="eastAsia" w:ascii="仿宋" w:hAnsi="仿宋" w:eastAsia="仿宋" w:cs="仿宋"/>
          <w:sz w:val="32"/>
          <w:szCs w:val="32"/>
          <w:lang w:val="en-US" w:eastAsia="zh-CN"/>
        </w:rPr>
        <w:t>抄牌处罚，拖移“僵尸车”和阻碍车辆和行人通行车辆300余台次</w:t>
      </w:r>
      <w:r>
        <w:rPr>
          <w:rFonts w:hint="eastAsia" w:eastAsia="仿宋" w:cs="仿宋"/>
          <w:sz w:val="32"/>
          <w:szCs w:val="32"/>
          <w:lang w:val="en-US" w:eastAsia="zh-CN"/>
        </w:rPr>
        <w:t>，管</w:t>
      </w:r>
      <w:r>
        <w:rPr>
          <w:rFonts w:hint="eastAsia" w:ascii="仿宋_GB2312" w:hAnsi="仿宋_GB2312" w:eastAsia="仿宋_GB2312" w:cs="仿宋_GB2312"/>
          <w:color w:val="auto"/>
          <w:kern w:val="0"/>
          <w:sz w:val="32"/>
          <w:szCs w:val="32"/>
          <w:lang w:val="en-US" w:eastAsia="zh-CN"/>
        </w:rPr>
        <w:t>辖范围内</w:t>
      </w:r>
      <w:r>
        <w:rPr>
          <w:rFonts w:hint="eastAsia" w:ascii="CESI仿宋-GB2312" w:hAnsi="CESI仿宋-GB2312" w:eastAsia="CESI仿宋-GB2312" w:cs="CESI仿宋-GB2312"/>
          <w:bCs/>
          <w:color w:val="auto"/>
          <w:kern w:val="2"/>
          <w:sz w:val="32"/>
          <w:szCs w:val="32"/>
          <w:lang w:val="en-US" w:eastAsia="zh-CN" w:bidi="ar-SA"/>
        </w:rPr>
        <w:t>市容秩序明显改观，为市民创造了舒适的城市环境。</w:t>
      </w:r>
    </w:p>
    <w:p w14:paraId="18B72725">
      <w:pPr>
        <w:keepNext w:val="0"/>
        <w:keepLines w:val="0"/>
        <w:pageBreakBefore w:val="0"/>
        <w:kinsoku/>
        <w:wordWrap/>
        <w:overflowPunct/>
        <w:topLinePunct w:val="0"/>
        <w:autoSpaceDE/>
        <w:autoSpaceDN/>
        <w:bidi w:val="0"/>
        <w:adjustRightInd/>
        <w:spacing w:line="580" w:lineRule="exact"/>
        <w:textAlignment w:val="auto"/>
        <w:rPr>
          <w:rFonts w:hint="default"/>
          <w:b w:val="0"/>
          <w:bCs w:val="0"/>
          <w:sz w:val="32"/>
          <w:szCs w:val="32"/>
          <w:lang w:val="en-US" w:eastAsia="zh-CN"/>
        </w:rPr>
      </w:pPr>
      <w:r>
        <w:rPr>
          <w:rFonts w:hint="eastAsia" w:ascii="CESI仿宋-GB2312" w:hAnsi="CESI仿宋-GB2312" w:eastAsia="CESI仿宋-GB2312" w:cs="CESI仿宋-GB2312"/>
          <w:bCs/>
          <w:color w:val="auto"/>
          <w:kern w:val="2"/>
          <w:sz w:val="32"/>
          <w:szCs w:val="32"/>
          <w:lang w:val="en-US" w:eastAsia="zh-CN" w:bidi="ar-SA"/>
        </w:rPr>
        <w:t xml:space="preserve">    </w:t>
      </w:r>
      <w:r>
        <w:rPr>
          <w:rFonts w:hint="eastAsia" w:ascii="仿宋" w:hAnsi="仿宋" w:eastAsia="仿宋" w:cs="仿宋"/>
          <w:sz w:val="32"/>
          <w:szCs w:val="32"/>
          <w:lang w:val="en-US" w:eastAsia="zh-CN"/>
        </w:rPr>
        <w:t>加强建设工程施工现场扬尘治理，</w:t>
      </w:r>
      <w:r>
        <w:rPr>
          <w:rFonts w:hint="eastAsia" w:eastAsia="仿宋" w:cs="仿宋"/>
          <w:sz w:val="32"/>
          <w:szCs w:val="32"/>
          <w:lang w:val="en-US" w:eastAsia="zh-CN"/>
        </w:rPr>
        <w:t>并</w:t>
      </w:r>
      <w:r>
        <w:rPr>
          <w:rFonts w:hint="eastAsia" w:ascii="仿宋" w:hAnsi="仿宋" w:eastAsia="仿宋" w:cs="仿宋"/>
          <w:sz w:val="32"/>
          <w:szCs w:val="32"/>
          <w:lang w:val="en-US" w:eastAsia="zh-CN"/>
        </w:rPr>
        <w:t>严厉查处渣土车运输过程中未覆盖、随意“滴洒漏”污染路面、影响交通安全等违法行为</w:t>
      </w:r>
      <w:r>
        <w:rPr>
          <w:rFonts w:hint="eastAsia" w:eastAsia="仿宋" w:cs="仿宋"/>
          <w:sz w:val="32"/>
          <w:szCs w:val="32"/>
          <w:lang w:val="en-US" w:eastAsia="zh-CN"/>
        </w:rPr>
        <w:t>。扎实开展</w:t>
      </w:r>
      <w:r>
        <w:rPr>
          <w:rFonts w:hint="eastAsia" w:ascii="方正仿宋_GB2312" w:hAnsi="方正仿宋_GB2312" w:eastAsia="方正仿宋_GB2312" w:cs="方正仿宋_GB2312"/>
          <w:b w:val="0"/>
          <w:bCs w:val="0"/>
          <w:sz w:val="32"/>
          <w:szCs w:val="32"/>
          <w:lang w:val="en-US" w:eastAsia="zh-CN"/>
        </w:rPr>
        <w:t>禁炮、餐饮油烟防治和垃圾分类等工作，为打赢蓝天保卫战夯实了基础，且消除了</w:t>
      </w:r>
      <w:r>
        <w:rPr>
          <w:rFonts w:hint="eastAsia" w:ascii="仿宋" w:hAnsi="仿宋" w:eastAsia="仿宋" w:cs="仿宋"/>
          <w:sz w:val="32"/>
          <w:szCs w:val="32"/>
          <w:lang w:val="en-US" w:eastAsia="zh-CN"/>
        </w:rPr>
        <w:t>贩售烟花爆竹</w:t>
      </w:r>
      <w:r>
        <w:rPr>
          <w:rFonts w:hint="eastAsia" w:eastAsia="仿宋" w:cs="仿宋"/>
          <w:sz w:val="32"/>
          <w:szCs w:val="32"/>
          <w:lang w:val="en-US" w:eastAsia="zh-CN"/>
        </w:rPr>
        <w:t>导致的安全风险，增强了公众安全意识，为经济高质量发展和社会和谐稳定奠定了基础。</w:t>
      </w:r>
    </w:p>
    <w:p w14:paraId="5DF0996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CESI仿宋-GB2312" w:hAnsi="CESI仿宋-GB2312" w:eastAsia="CESI仿宋-GB2312" w:cs="CESI仿宋-GB2312"/>
          <w:bCs/>
          <w:color w:val="auto"/>
          <w:kern w:val="2"/>
          <w:sz w:val="32"/>
          <w:szCs w:val="32"/>
          <w:lang w:val="en-US" w:eastAsia="zh-CN" w:bidi="ar-SA"/>
        </w:rPr>
        <w:t>城市管理综合行政执法工作的扎实开展，</w:t>
      </w:r>
      <w:r>
        <w:rPr>
          <w:rFonts w:hint="eastAsia" w:ascii="CESI仿宋-GB2312" w:hAnsi="CESI仿宋-GB2312" w:eastAsia="CESI仿宋-GB2312" w:cs="CESI仿宋-GB2312"/>
          <w:color w:val="auto"/>
          <w:spacing w:val="6"/>
          <w:sz w:val="32"/>
          <w:szCs w:val="32"/>
          <w:lang w:eastAsia="zh-CN"/>
        </w:rPr>
        <w:t>火车站两站地区和</w:t>
      </w:r>
      <w:r>
        <w:rPr>
          <w:rFonts w:hint="eastAsia" w:ascii="仿宋_GB2312" w:hAnsi="仿宋_GB2312" w:eastAsia="仿宋_GB2312" w:cs="仿宋_GB2312"/>
          <w:color w:val="auto"/>
          <w:kern w:val="0"/>
          <w:sz w:val="32"/>
          <w:szCs w:val="32"/>
          <w:lang w:val="en-US" w:eastAsia="zh-CN"/>
        </w:rPr>
        <w:t>金凤桥管理处、通海路管理处、木里港管理处辖区范围内市容市貌明显改观，</w:t>
      </w:r>
      <w:r>
        <w:rPr>
          <w:rFonts w:hint="eastAsia" w:ascii="CESI仿宋-GB2312" w:hAnsi="CESI仿宋-GB2312" w:eastAsia="CESI仿宋-GB2312" w:cs="CESI仿宋-GB2312"/>
          <w:bCs/>
          <w:color w:val="auto"/>
          <w:kern w:val="2"/>
          <w:sz w:val="32"/>
          <w:szCs w:val="32"/>
          <w:lang w:val="en-US" w:eastAsia="zh-CN" w:bidi="ar-SA"/>
        </w:rPr>
        <w:t>城市整体形象不断提升，大大改善了城市人居环境，有效助力了旅游业发展，为我市建设全国文明城市奠定了基础。</w:t>
      </w:r>
    </w:p>
    <w:p w14:paraId="5A57A06E">
      <w:pPr>
        <w:keepNext w:val="0"/>
        <w:keepLines w:val="0"/>
        <w:pageBreakBefore w:val="0"/>
        <w:widowControl w:val="0"/>
        <w:numPr>
          <w:ilvl w:val="0"/>
          <w:numId w:val="4"/>
        </w:numPr>
        <w:kinsoku/>
        <w:wordWrap/>
        <w:overflowPunct/>
        <w:topLinePunct w:val="0"/>
        <w:autoSpaceDE/>
        <w:autoSpaceDN/>
        <w:bidi w:val="0"/>
        <w:adjustRightInd/>
        <w:snapToGrid/>
        <w:spacing w:afterLines="0" w:line="580" w:lineRule="exact"/>
        <w:ind w:left="0" w:leftChars="0" w:right="0" w:rightChars="0" w:firstLine="640"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存在的问题和下一步工作计划</w:t>
      </w:r>
    </w:p>
    <w:p w14:paraId="54BCEBEE">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CESI仿宋-GB2312" w:hAnsi="CESI仿宋-GB2312" w:eastAsia="CESI仿宋-GB2312" w:cs="CESI仿宋-GB2312"/>
          <w:b w:val="0"/>
          <w:bCs w:val="0"/>
          <w:sz w:val="32"/>
          <w:szCs w:val="32"/>
          <w:lang w:eastAsia="zh-CN"/>
        </w:rPr>
        <w:t>（一）城乡接合部</w:t>
      </w:r>
      <w:r>
        <w:rPr>
          <w:rFonts w:hint="eastAsia" w:ascii="CESI仿宋-GB2312" w:hAnsi="CESI仿宋-GB2312" w:eastAsia="CESI仿宋-GB2312" w:cs="CESI仿宋-GB2312"/>
          <w:b w:val="0"/>
          <w:bCs w:val="0"/>
          <w:sz w:val="32"/>
          <w:szCs w:val="32"/>
        </w:rPr>
        <w:t>渣土运输</w:t>
      </w:r>
      <w:r>
        <w:rPr>
          <w:rFonts w:hint="eastAsia" w:ascii="CESI仿宋-GB2312" w:hAnsi="CESI仿宋-GB2312" w:eastAsia="CESI仿宋-GB2312" w:cs="CESI仿宋-GB2312"/>
          <w:b w:val="0"/>
          <w:bCs w:val="0"/>
          <w:sz w:val="32"/>
          <w:szCs w:val="32"/>
          <w:lang w:eastAsia="zh-CN"/>
        </w:rPr>
        <w:t>有待加强管理，存在</w:t>
      </w:r>
      <w:r>
        <w:rPr>
          <w:rFonts w:hint="eastAsia" w:ascii="仿宋" w:hAnsi="仿宋" w:eastAsia="仿宋" w:cs="仿宋"/>
          <w:sz w:val="32"/>
          <w:szCs w:val="32"/>
          <w:lang w:val="en-US" w:eastAsia="zh-CN"/>
        </w:rPr>
        <w:t>自发形成的建筑垃圾消纳场</w:t>
      </w:r>
      <w:r>
        <w:rPr>
          <w:rFonts w:hint="eastAsia" w:ascii="CESI仿宋-GB2312" w:hAnsi="CESI仿宋-GB2312" w:eastAsia="CESI仿宋-GB2312" w:cs="CESI仿宋-GB2312"/>
          <w:b w:val="0"/>
          <w:bCs w:val="0"/>
          <w:sz w:val="32"/>
          <w:szCs w:val="32"/>
          <w:lang w:eastAsia="zh-CN"/>
        </w:rPr>
        <w:t>。下一步大队将</w:t>
      </w:r>
      <w:r>
        <w:rPr>
          <w:rFonts w:hint="eastAsia" w:ascii="仿宋" w:hAnsi="仿宋" w:eastAsia="仿宋" w:cs="仿宋"/>
          <w:sz w:val="32"/>
          <w:szCs w:val="32"/>
          <w:lang w:val="en-US" w:eastAsia="zh-CN"/>
        </w:rPr>
        <w:t>加强与区直有关部门和乡镇（管理处）对接，以安全的高度和环保的刚度压实各单位责任，确保消除该隐患。</w:t>
      </w:r>
    </w:p>
    <w:p w14:paraId="46A3BBDD">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jc w:val="left"/>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（二）新划入管辖范围城市管理与社区管理协同方面有待加强。下一步将加强与辖区内社区联动，通过职能互补、党建引领、法治保障等多维度加大管理力度，形成高效协同的城市治理体系。</w:t>
      </w:r>
    </w:p>
    <w:p w14:paraId="1449F724">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right="0" w:rightChars="0"/>
        <w:jc w:val="left"/>
        <w:textAlignment w:val="auto"/>
        <w:rPr>
          <w:rFonts w:hint="eastAsia" w:ascii="仿宋_GB2312" w:hAnsi="仿宋_GB2312" w:eastAsia="仿宋_GB2312" w:cs="仿宋_GB2312"/>
          <w:bCs/>
          <w:kern w:val="2"/>
          <w:sz w:val="32"/>
          <w:szCs w:val="32"/>
          <w:lang w:val="en-US" w:eastAsia="zh-CN" w:bidi="ar-SA"/>
        </w:rPr>
      </w:pPr>
    </w:p>
    <w:p w14:paraId="33E4102A">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CESI仿宋-GB2312" w:hAnsi="CESI仿宋-GB2312" w:eastAsia="CESI仿宋-GB2312" w:cs="CESI仿宋-GB2312"/>
          <w:color w:val="000000"/>
          <w:sz w:val="32"/>
          <w:szCs w:val="32"/>
          <w:highlight w:val="none"/>
        </w:rPr>
        <w:t>202</w:t>
      </w:r>
      <w:r>
        <w:rPr>
          <w:rFonts w:hint="eastAsia" w:ascii="CESI仿宋-GB2312" w:hAnsi="CESI仿宋-GB2312" w:eastAsia="CESI仿宋-GB2312" w:cs="CESI仿宋-GB2312"/>
          <w:color w:val="000000"/>
          <w:sz w:val="32"/>
          <w:szCs w:val="32"/>
          <w:highlight w:val="none"/>
          <w:lang w:val="en-US" w:eastAsia="zh-CN"/>
        </w:rPr>
        <w:t>4</w:t>
      </w:r>
      <w:r>
        <w:rPr>
          <w:rFonts w:hint="eastAsia" w:ascii="CESI仿宋-GB2312" w:hAnsi="CESI仿宋-GB2312" w:eastAsia="CESI仿宋-GB2312" w:cs="CESI仿宋-GB2312"/>
          <w:color w:val="000000"/>
          <w:sz w:val="32"/>
          <w:szCs w:val="32"/>
          <w:highlight w:val="none"/>
        </w:rPr>
        <w:t>年度项目支出绩效自评表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1-1至1-4</w:t>
      </w:r>
      <w:r>
        <w:rPr>
          <w:rFonts w:hint="eastAsia" w:ascii="仿宋_GB2312" w:hAnsi="仿宋_GB2312" w:eastAsia="仿宋_GB2312" w:cs="仿宋_GB2312"/>
          <w:sz w:val="32"/>
          <w:szCs w:val="32"/>
        </w:rPr>
        <w:t>）</w:t>
      </w:r>
    </w:p>
    <w:p w14:paraId="2A0499F6">
      <w:pPr>
        <w:keepNext w:val="0"/>
        <w:keepLines w:val="0"/>
        <w:pageBreakBefore w:val="0"/>
        <w:kinsoku/>
        <w:wordWrap/>
        <w:overflowPunct/>
        <w:topLinePunct w:val="0"/>
        <w:autoSpaceDE/>
        <w:autoSpaceDN/>
        <w:bidi w:val="0"/>
        <w:adjustRightInd/>
        <w:spacing w:after="120" w:afterLines="50" w:line="580" w:lineRule="exact"/>
        <w:jc w:val="left"/>
        <w:textAlignment w:val="auto"/>
        <w:rPr>
          <w:rFonts w:hint="eastAsia" w:ascii="仿宋_GB2312" w:hAnsi="仿宋_GB2312" w:eastAsia="仿宋_GB2312" w:cs="仿宋_GB2312"/>
          <w:sz w:val="32"/>
          <w:szCs w:val="32"/>
        </w:rPr>
      </w:pPr>
    </w:p>
    <w:p w14:paraId="67E61C46">
      <w:pPr>
        <w:keepNext w:val="0"/>
        <w:keepLines w:val="0"/>
        <w:pageBreakBefore w:val="0"/>
        <w:kinsoku/>
        <w:wordWrap/>
        <w:overflowPunct/>
        <w:topLinePunct w:val="0"/>
        <w:autoSpaceDE/>
        <w:autoSpaceDN/>
        <w:bidi w:val="0"/>
        <w:adjustRightInd/>
        <w:spacing w:after="120" w:afterLines="50" w:line="580" w:lineRule="exact"/>
        <w:jc w:val="left"/>
        <w:textAlignment w:val="auto"/>
        <w:rPr>
          <w:rFonts w:hint="eastAsia" w:ascii="仿宋_GB2312" w:hAnsi="仿宋_GB2312" w:eastAsia="仿宋_GB2312" w:cs="仿宋_GB2312"/>
          <w:sz w:val="32"/>
          <w:szCs w:val="32"/>
        </w:rPr>
      </w:pPr>
    </w:p>
    <w:p w14:paraId="4E413C59">
      <w:pPr>
        <w:keepNext w:val="0"/>
        <w:keepLines w:val="0"/>
        <w:pageBreakBefore w:val="0"/>
        <w:kinsoku/>
        <w:wordWrap/>
        <w:overflowPunct/>
        <w:topLinePunct w:val="0"/>
        <w:autoSpaceDE/>
        <w:autoSpaceDN/>
        <w:bidi w:val="0"/>
        <w:adjustRightInd/>
        <w:spacing w:line="580" w:lineRule="exact"/>
        <w:ind w:firstLine="960" w:firstLineChars="300"/>
        <w:jc w:val="right"/>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岳阳市城市管理综合行政执法支队</w:t>
      </w:r>
      <w:r>
        <w:rPr>
          <w:rFonts w:hint="eastAsia" w:ascii="仿宋_GB2312" w:hAnsi="仿宋_GB2312" w:eastAsia="仿宋_GB2312" w:cs="仿宋_GB2312"/>
          <w:color w:val="000000"/>
          <w:sz w:val="32"/>
          <w:szCs w:val="32"/>
          <w:u w:val="none"/>
          <w:lang w:eastAsia="zh-CN"/>
        </w:rPr>
        <w:t>站场大队</w:t>
      </w:r>
    </w:p>
    <w:p w14:paraId="58D707E1">
      <w:pPr>
        <w:pStyle w:val="3"/>
        <w:keepNext w:val="0"/>
        <w:keepLines w:val="0"/>
        <w:pageBreakBefore w:val="0"/>
        <w:kinsoku/>
        <w:wordWrap/>
        <w:overflowPunct/>
        <w:topLinePunct w:val="0"/>
        <w:autoSpaceDE/>
        <w:autoSpaceDN/>
        <w:bidi w:val="0"/>
        <w:adjustRightInd/>
        <w:spacing w:line="580" w:lineRule="exact"/>
        <w:ind w:left="0" w:leftChars="0" w:firstLine="4480" w:firstLineChars="1400"/>
        <w:jc w:val="both"/>
        <w:textAlignment w:val="auto"/>
        <w:rPr>
          <w:rFonts w:hint="eastAsia"/>
          <w:sz w:val="32"/>
          <w:szCs w:val="32"/>
          <w:lang w:eastAsia="zh-CN"/>
        </w:rPr>
      </w:pPr>
      <w:r>
        <w:rPr>
          <w:rFonts w:hint="eastAsia" w:ascii="仿宋_GB2312" w:hAnsi="仿宋_GB2312" w:eastAsia="仿宋_GB2312" w:cs="仿宋_GB2312"/>
          <w:color w:val="000000"/>
          <w:sz w:val="32"/>
          <w:szCs w:val="32"/>
          <w:u w:val="none"/>
          <w:lang w:val="en-US" w:eastAsia="zh-CN"/>
        </w:rPr>
        <w:t>2025年6月20日</w:t>
      </w:r>
    </w:p>
    <w:p w14:paraId="374CFD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2"/>
          <w:szCs w:val="22"/>
          <w:highlight w:val="none"/>
        </w:rPr>
      </w:pPr>
    </w:p>
    <w:p w14:paraId="1BD58D9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2"/>
          <w:szCs w:val="22"/>
          <w:highlight w:val="none"/>
        </w:rPr>
      </w:pPr>
    </w:p>
    <w:p w14:paraId="6D71D08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14:paraId="4C4B79A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14:paraId="55373A19">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230"/>
        <w:gridCol w:w="732"/>
        <w:gridCol w:w="873"/>
        <w:gridCol w:w="1418"/>
      </w:tblGrid>
      <w:tr w14:paraId="507269AC">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2B32E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995CB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C5F6E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协管员经费</w:t>
            </w:r>
            <w:r>
              <w:rPr>
                <w:rFonts w:hint="eastAsia" w:ascii="仿宋_GB2312" w:hAnsi="仿宋_GB2312" w:eastAsia="仿宋_GB2312" w:cs="仿宋_GB2312"/>
                <w:color w:val="000000"/>
                <w:sz w:val="20"/>
                <w:szCs w:val="20"/>
                <w:highlight w:val="none"/>
              </w:rPr>
              <w:t>　</w:t>
            </w:r>
          </w:p>
        </w:tc>
      </w:tr>
      <w:tr w14:paraId="1A48855E">
        <w:tblPrEx>
          <w:tblCellMar>
            <w:top w:w="0" w:type="dxa"/>
            <w:left w:w="108" w:type="dxa"/>
            <w:bottom w:w="0" w:type="dxa"/>
            <w:right w:w="108" w:type="dxa"/>
          </w:tblCellMar>
        </w:tblPrEx>
        <w:trPr>
          <w:trHeight w:val="492"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8B7E9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E1B17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230" w:type="dxa"/>
            <w:tcBorders>
              <w:top w:val="single" w:color="auto" w:sz="4" w:space="0"/>
              <w:left w:val="nil"/>
              <w:bottom w:val="single" w:color="auto" w:sz="4" w:space="0"/>
              <w:right w:val="single" w:color="000000" w:sz="4" w:space="0"/>
            </w:tcBorders>
            <w:noWrap w:val="0"/>
            <w:vAlign w:val="center"/>
          </w:tcPr>
          <w:p w14:paraId="6FADE3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023" w:type="dxa"/>
            <w:gridSpan w:val="3"/>
            <w:tcBorders>
              <w:top w:val="single" w:color="auto" w:sz="4" w:space="0"/>
              <w:left w:val="nil"/>
              <w:bottom w:val="single" w:color="auto" w:sz="4" w:space="0"/>
              <w:right w:val="single" w:color="auto" w:sz="4" w:space="0"/>
            </w:tcBorders>
            <w:noWrap w:val="0"/>
            <w:vAlign w:val="center"/>
          </w:tcPr>
          <w:p w14:paraId="0064F5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14:paraId="0245FF7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4327F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5946F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DCFEC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CE542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F593E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2626C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0" w:type="dxa"/>
            <w:tcBorders>
              <w:top w:val="nil"/>
              <w:left w:val="nil"/>
              <w:bottom w:val="single" w:color="auto" w:sz="4" w:space="0"/>
              <w:right w:val="single" w:color="auto" w:sz="4" w:space="0"/>
            </w:tcBorders>
            <w:noWrap w:val="0"/>
            <w:vAlign w:val="center"/>
          </w:tcPr>
          <w:p w14:paraId="4ADC06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F1684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2" w:type="dxa"/>
            <w:tcBorders>
              <w:top w:val="nil"/>
              <w:left w:val="nil"/>
              <w:bottom w:val="single" w:color="auto" w:sz="4" w:space="0"/>
              <w:right w:val="single" w:color="auto" w:sz="4" w:space="0"/>
            </w:tcBorders>
            <w:noWrap w:val="0"/>
            <w:vAlign w:val="center"/>
          </w:tcPr>
          <w:p w14:paraId="7B0312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905F7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39F846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831E7B6">
        <w:tblPrEx>
          <w:tblCellMar>
            <w:top w:w="0" w:type="dxa"/>
            <w:left w:w="108" w:type="dxa"/>
            <w:bottom w:w="0" w:type="dxa"/>
            <w:right w:w="108" w:type="dxa"/>
          </w:tblCellMar>
        </w:tblPrEx>
        <w:trPr>
          <w:trHeight w:val="50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51E5E1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5FA6D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E5E66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176.78</w:t>
            </w:r>
          </w:p>
        </w:tc>
        <w:tc>
          <w:tcPr>
            <w:tcW w:w="1134" w:type="dxa"/>
            <w:tcBorders>
              <w:top w:val="nil"/>
              <w:left w:val="nil"/>
              <w:bottom w:val="single" w:color="auto" w:sz="4" w:space="0"/>
              <w:right w:val="single" w:color="auto" w:sz="4" w:space="0"/>
            </w:tcBorders>
            <w:noWrap w:val="0"/>
            <w:vAlign w:val="center"/>
          </w:tcPr>
          <w:p w14:paraId="08E4366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176.78</w:t>
            </w:r>
          </w:p>
        </w:tc>
        <w:tc>
          <w:tcPr>
            <w:tcW w:w="1230" w:type="dxa"/>
            <w:tcBorders>
              <w:top w:val="nil"/>
              <w:left w:val="nil"/>
              <w:bottom w:val="single" w:color="auto" w:sz="4" w:space="0"/>
              <w:right w:val="single" w:color="auto" w:sz="4" w:space="0"/>
            </w:tcBorders>
            <w:noWrap w:val="0"/>
            <w:vAlign w:val="center"/>
          </w:tcPr>
          <w:p w14:paraId="6E6E2540">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176.78</w:t>
            </w:r>
          </w:p>
        </w:tc>
        <w:tc>
          <w:tcPr>
            <w:tcW w:w="732" w:type="dxa"/>
            <w:tcBorders>
              <w:top w:val="nil"/>
              <w:left w:val="nil"/>
              <w:bottom w:val="single" w:color="auto" w:sz="4" w:space="0"/>
              <w:right w:val="single" w:color="auto" w:sz="4" w:space="0"/>
            </w:tcBorders>
            <w:noWrap w:val="0"/>
            <w:vAlign w:val="center"/>
          </w:tcPr>
          <w:p w14:paraId="41B667D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3A93B7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811431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039C5C48">
        <w:tblPrEx>
          <w:tblCellMar>
            <w:top w:w="0" w:type="dxa"/>
            <w:left w:w="108" w:type="dxa"/>
            <w:bottom w:w="0" w:type="dxa"/>
            <w:right w:w="108" w:type="dxa"/>
          </w:tblCellMar>
        </w:tblPrEx>
        <w:trPr>
          <w:trHeight w:val="50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2428E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6CBA35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F6F684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14:paraId="690FFE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171.00</w:t>
            </w:r>
          </w:p>
        </w:tc>
        <w:tc>
          <w:tcPr>
            <w:tcW w:w="1230" w:type="dxa"/>
            <w:tcBorders>
              <w:top w:val="nil"/>
              <w:left w:val="nil"/>
              <w:bottom w:val="single" w:color="auto" w:sz="4" w:space="0"/>
              <w:right w:val="single" w:color="auto" w:sz="4" w:space="0"/>
            </w:tcBorders>
            <w:noWrap w:val="0"/>
            <w:vAlign w:val="center"/>
          </w:tcPr>
          <w:p w14:paraId="6F3528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171.00</w:t>
            </w:r>
          </w:p>
        </w:tc>
        <w:tc>
          <w:tcPr>
            <w:tcW w:w="732" w:type="dxa"/>
            <w:tcBorders>
              <w:top w:val="nil"/>
              <w:left w:val="nil"/>
              <w:bottom w:val="single" w:color="auto" w:sz="4" w:space="0"/>
              <w:right w:val="single" w:color="auto" w:sz="4" w:space="0"/>
            </w:tcBorders>
            <w:noWrap w:val="0"/>
            <w:vAlign w:val="center"/>
          </w:tcPr>
          <w:p w14:paraId="0397D9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rPr>
            </w:pPr>
          </w:p>
        </w:tc>
        <w:tc>
          <w:tcPr>
            <w:tcW w:w="873" w:type="dxa"/>
            <w:tcBorders>
              <w:top w:val="nil"/>
              <w:left w:val="nil"/>
              <w:bottom w:val="single" w:color="auto" w:sz="4" w:space="0"/>
              <w:right w:val="single" w:color="auto" w:sz="4" w:space="0"/>
            </w:tcBorders>
            <w:noWrap w:val="0"/>
            <w:vAlign w:val="center"/>
          </w:tcPr>
          <w:p w14:paraId="676526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A2309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512A1B">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146CE6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EFF8255">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3AE59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5.78</w:t>
            </w:r>
          </w:p>
        </w:tc>
        <w:tc>
          <w:tcPr>
            <w:tcW w:w="1134" w:type="dxa"/>
            <w:tcBorders>
              <w:top w:val="nil"/>
              <w:left w:val="nil"/>
              <w:bottom w:val="single" w:color="auto" w:sz="4" w:space="0"/>
              <w:right w:val="single" w:color="auto" w:sz="4" w:space="0"/>
            </w:tcBorders>
            <w:noWrap w:val="0"/>
            <w:vAlign w:val="center"/>
          </w:tcPr>
          <w:p w14:paraId="49BDB0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5.78</w:t>
            </w:r>
          </w:p>
        </w:tc>
        <w:tc>
          <w:tcPr>
            <w:tcW w:w="1230" w:type="dxa"/>
            <w:tcBorders>
              <w:top w:val="nil"/>
              <w:left w:val="nil"/>
              <w:bottom w:val="single" w:color="auto" w:sz="4" w:space="0"/>
              <w:right w:val="single" w:color="auto" w:sz="4" w:space="0"/>
            </w:tcBorders>
            <w:noWrap w:val="0"/>
            <w:vAlign w:val="center"/>
          </w:tcPr>
          <w:p w14:paraId="5101EB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5.78</w:t>
            </w:r>
          </w:p>
        </w:tc>
        <w:tc>
          <w:tcPr>
            <w:tcW w:w="732" w:type="dxa"/>
            <w:tcBorders>
              <w:top w:val="nil"/>
              <w:left w:val="nil"/>
              <w:bottom w:val="single" w:color="auto" w:sz="4" w:space="0"/>
              <w:right w:val="single" w:color="auto" w:sz="4" w:space="0"/>
            </w:tcBorders>
            <w:noWrap w:val="0"/>
            <w:vAlign w:val="center"/>
          </w:tcPr>
          <w:p w14:paraId="2824EC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87B797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596D6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DF38B9">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F134C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CD04B1E">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9734F7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AC188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0" w:type="dxa"/>
            <w:tcBorders>
              <w:top w:val="nil"/>
              <w:left w:val="nil"/>
              <w:bottom w:val="single" w:color="auto" w:sz="4" w:space="0"/>
              <w:right w:val="single" w:color="auto" w:sz="4" w:space="0"/>
            </w:tcBorders>
            <w:noWrap w:val="0"/>
            <w:vAlign w:val="center"/>
          </w:tcPr>
          <w:p w14:paraId="67DEA76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2" w:type="dxa"/>
            <w:tcBorders>
              <w:top w:val="nil"/>
              <w:left w:val="nil"/>
              <w:bottom w:val="single" w:color="auto" w:sz="4" w:space="0"/>
              <w:right w:val="single" w:color="auto" w:sz="4" w:space="0"/>
            </w:tcBorders>
            <w:noWrap w:val="0"/>
            <w:vAlign w:val="center"/>
          </w:tcPr>
          <w:p w14:paraId="0B39B7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0DB8A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10639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973917">
        <w:tblPrEx>
          <w:tblCellMar>
            <w:top w:w="0" w:type="dxa"/>
            <w:left w:w="108" w:type="dxa"/>
            <w:bottom w:w="0" w:type="dxa"/>
            <w:right w:w="108" w:type="dxa"/>
          </w:tblCellMar>
        </w:tblPrEx>
        <w:trPr>
          <w:trHeight w:val="60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B25EE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09A9A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E13ED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094D7F4">
        <w:tblPrEx>
          <w:tblCellMar>
            <w:top w:w="0" w:type="dxa"/>
            <w:left w:w="108" w:type="dxa"/>
            <w:bottom w:w="0" w:type="dxa"/>
            <w:right w:w="108" w:type="dxa"/>
          </w:tblCellMar>
        </w:tblPrEx>
        <w:trPr>
          <w:trHeight w:val="1668"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8AF517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400606E">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协管员在执法人员的带领下，能独立处理好各种执法事件</w:t>
            </w:r>
            <w:r>
              <w:rPr>
                <w:rFonts w:hint="eastAsia" w:ascii="仿宋_GB2312" w:hAnsi="仿宋_GB2312" w:eastAsia="仿宋_GB2312" w:cs="仿宋_GB2312"/>
                <w:color w:val="000000"/>
                <w:sz w:val="20"/>
                <w:szCs w:val="20"/>
                <w:highlight w:val="none"/>
                <w:lang w:eastAsia="zh-CN"/>
              </w:rPr>
              <w:t>辅助工作</w:t>
            </w:r>
            <w:r>
              <w:rPr>
                <w:rFonts w:hint="eastAsia" w:ascii="仿宋_GB2312" w:hAnsi="仿宋_GB2312" w:eastAsia="仿宋_GB2312" w:cs="仿宋_GB2312"/>
                <w:color w:val="000000"/>
                <w:sz w:val="20"/>
                <w:szCs w:val="20"/>
                <w:highlight w:val="none"/>
              </w:rPr>
              <w:t>，将火车站地区的秩序治理的井然有序，给过往旅客提供整洁优美的出行环境。　　</w:t>
            </w:r>
          </w:p>
        </w:tc>
        <w:tc>
          <w:tcPr>
            <w:tcW w:w="4253" w:type="dxa"/>
            <w:gridSpan w:val="4"/>
            <w:tcBorders>
              <w:top w:val="single" w:color="auto" w:sz="4" w:space="0"/>
              <w:left w:val="nil"/>
              <w:bottom w:val="single" w:color="auto" w:sz="4" w:space="0"/>
              <w:right w:val="single" w:color="auto" w:sz="4" w:space="0"/>
            </w:tcBorders>
            <w:noWrap w:val="0"/>
            <w:vAlign w:val="center"/>
          </w:tcPr>
          <w:p w14:paraId="1F414D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协管员在执法人员的带领下，能独立处理好各种执法事件</w:t>
            </w:r>
            <w:r>
              <w:rPr>
                <w:rFonts w:hint="eastAsia" w:ascii="仿宋_GB2312" w:hAnsi="仿宋_GB2312" w:eastAsia="仿宋_GB2312" w:cs="仿宋_GB2312"/>
                <w:color w:val="000000"/>
                <w:sz w:val="20"/>
                <w:szCs w:val="20"/>
                <w:highlight w:val="none"/>
                <w:lang w:eastAsia="zh-CN"/>
              </w:rPr>
              <w:t>辅助工作</w:t>
            </w:r>
            <w:r>
              <w:rPr>
                <w:rFonts w:hint="eastAsia" w:ascii="仿宋_GB2312" w:hAnsi="仿宋_GB2312" w:eastAsia="仿宋_GB2312" w:cs="仿宋_GB2312"/>
                <w:color w:val="000000"/>
                <w:sz w:val="20"/>
                <w:szCs w:val="20"/>
                <w:highlight w:val="none"/>
              </w:rPr>
              <w:t>，将火车站地区的秩序治理的井然有序，给过往旅客提供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整洁优美的出行环境。</w:t>
            </w:r>
          </w:p>
        </w:tc>
      </w:tr>
      <w:tr w14:paraId="3D3AC413">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577AF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48D15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06A6B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BD9F9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C350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F084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A44E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9E13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A6DAB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CECC1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0ACB1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59ED3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5915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38518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1FA666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C9DC6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0D8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0A71A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14:paraId="6B6D89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BE754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50D4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法律法规、作风纪律、职业道德教育等</w:t>
            </w:r>
            <w:r>
              <w:rPr>
                <w:rFonts w:hint="eastAsia" w:ascii="仿宋_GB2312" w:hAnsi="仿宋_GB2312" w:eastAsia="仿宋_GB2312" w:cs="仿宋_GB2312"/>
                <w:color w:val="000000"/>
                <w:sz w:val="20"/>
                <w:szCs w:val="20"/>
                <w:highlight w:val="none"/>
                <w:lang w:eastAsia="zh-CN"/>
              </w:rPr>
              <w:t>培训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F2990D">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8A67C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0D545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7225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EA63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590558">
        <w:tblPrEx>
          <w:tblCellMar>
            <w:top w:w="0" w:type="dxa"/>
            <w:left w:w="108" w:type="dxa"/>
            <w:bottom w:w="0" w:type="dxa"/>
            <w:right w:w="108" w:type="dxa"/>
          </w:tblCellMar>
        </w:tblPrEx>
        <w:trPr>
          <w:trHeight w:val="64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9E444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2A098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914FB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4DE2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A75E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9018B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35B9E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9460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4E8D8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24B8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3BC25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FFCB3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6507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E610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成立固定协管队伍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4CC1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E921E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1AA1A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D2A9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AEA9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38人</w:t>
            </w:r>
          </w:p>
        </w:tc>
      </w:tr>
      <w:tr w14:paraId="45F5B85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7AC41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21ECF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BA2C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11BE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协管员管理及考核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ACCCA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合格率≥95%</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BFB8A1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E9D7A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C268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809E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938488">
        <w:tblPrEx>
          <w:tblCellMar>
            <w:top w:w="0" w:type="dxa"/>
            <w:left w:w="108" w:type="dxa"/>
            <w:bottom w:w="0" w:type="dxa"/>
            <w:right w:w="108" w:type="dxa"/>
          </w:tblCellMar>
        </w:tblPrEx>
        <w:trPr>
          <w:trHeight w:val="11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F5EB6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DD605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9F43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B1A0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按考核结果发放协管员工资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ECD0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按月发放</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5B63F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均按时发放</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AF7AC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8DDA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845F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E4D0E2">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F5CD9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AAD66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D1D8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561F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按时完成</w:t>
            </w:r>
            <w:r>
              <w:rPr>
                <w:rFonts w:hint="eastAsia" w:ascii="仿宋_GB2312" w:hAnsi="仿宋_GB2312" w:eastAsia="仿宋_GB2312" w:cs="仿宋_GB2312"/>
                <w:color w:val="000000"/>
                <w:sz w:val="20"/>
                <w:szCs w:val="20"/>
                <w:highlight w:val="none"/>
                <w:lang w:eastAsia="zh-CN"/>
              </w:rPr>
              <w:t>相关工作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A6EE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DEEC2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C6A77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FB5B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AF21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D02A6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9CDBD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63899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E2FED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5DC8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EFB4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控制在预算金额</w:t>
            </w:r>
            <w:r>
              <w:rPr>
                <w:rFonts w:hint="eastAsia" w:ascii="仿宋_GB2312" w:hAnsi="仿宋_GB2312" w:eastAsia="仿宋_GB2312" w:cs="仿宋_GB2312"/>
                <w:color w:val="000000"/>
                <w:sz w:val="20"/>
                <w:szCs w:val="20"/>
                <w:highlight w:val="none"/>
                <w:lang w:val="en-US" w:eastAsia="zh-CN"/>
              </w:rPr>
              <w:t>之内</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21439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236E4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5A97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B07C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9B88D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717E1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0EBB0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3207F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B023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F2B87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8C8DC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A2EBB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24D6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9DDE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1E732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3D7EE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D5C8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DF8F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8A58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D3071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60544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4298B4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BC43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75BD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E94F4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3A617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17CFA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B4114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14:paraId="1BC99B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56FD8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8385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F9202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A0472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8042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3992B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协管员工资收入</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7F9DA7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AEE3F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E76F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AA135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D3E35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C303C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E4ACF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2898B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4028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火车站地区秩序管理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CEC4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提升火车站地区管理秩序</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CB719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火车站地区管理秩序良好</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0AA4F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7C7C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3FA1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C3BEB4">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42D22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A2C48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DC44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AB43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为出行旅客提供合理的便民服务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35A7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工作更细致、亲民</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76E28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得到广大市民好评</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23415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C5E7F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8CE8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2EB2A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75840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8507E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0624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2905C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65CA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5C73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31C82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B2348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D73D5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3A7A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B68E6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ABBE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226F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1536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60A1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有相对固定的执法执勤队伍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62CA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有一支高素质的执法执勤队伍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4EF48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执法执勤人员整体素质不断提升</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D235A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E09E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DA9A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05837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7570A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E5B2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801F7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D2F5C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6ABC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8161A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39F14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A3CC8C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E4F17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AC3C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3006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319761">
        <w:tblPrEx>
          <w:tblCellMar>
            <w:top w:w="0" w:type="dxa"/>
            <w:left w:w="108" w:type="dxa"/>
            <w:bottom w:w="0" w:type="dxa"/>
            <w:right w:w="108" w:type="dxa"/>
          </w:tblCellMar>
        </w:tblPrEx>
        <w:trPr>
          <w:trHeight w:val="699" w:hRule="atLeast"/>
          <w:jc w:val="center"/>
        </w:trPr>
        <w:tc>
          <w:tcPr>
            <w:tcW w:w="6828" w:type="dxa"/>
            <w:gridSpan w:val="6"/>
            <w:tcBorders>
              <w:top w:val="single" w:color="auto" w:sz="4" w:space="0"/>
              <w:left w:val="single" w:color="auto" w:sz="4" w:space="0"/>
              <w:bottom w:val="single" w:color="auto" w:sz="4" w:space="0"/>
              <w:right w:val="single" w:color="000000" w:sz="4" w:space="0"/>
            </w:tcBorders>
            <w:noWrap w:val="0"/>
            <w:vAlign w:val="center"/>
          </w:tcPr>
          <w:p w14:paraId="5D317D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2" w:type="dxa"/>
            <w:tcBorders>
              <w:top w:val="single" w:color="auto" w:sz="4" w:space="0"/>
              <w:left w:val="nil"/>
              <w:bottom w:val="single" w:color="auto" w:sz="4" w:space="0"/>
              <w:right w:val="single" w:color="auto" w:sz="4" w:space="0"/>
            </w:tcBorders>
            <w:noWrap w:val="0"/>
            <w:vAlign w:val="center"/>
          </w:tcPr>
          <w:p w14:paraId="7A8916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14:paraId="64817785">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14:paraId="701EA4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8C109D1">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default" w:ascii="Times New Roman" w:hAnsi="Times New Roman" w:eastAsia="仿宋_GB2312" w:cs="Times New Roman"/>
          <w:sz w:val="22"/>
          <w:highlight w:val="none"/>
        </w:rPr>
      </w:pPr>
    </w:p>
    <w:p w14:paraId="4D6B02B4">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14:paraId="4CDAE795">
      <w:pPr>
        <w:widowControl/>
        <w:spacing w:line="600" w:lineRule="exact"/>
        <w:jc w:val="left"/>
        <w:rPr>
          <w:rFonts w:hint="eastAsia" w:ascii="黑体" w:hAnsi="黑体" w:eastAsia="黑体" w:cs="黑体"/>
          <w:sz w:val="32"/>
          <w:szCs w:val="32"/>
          <w:highlight w:val="none"/>
        </w:rPr>
      </w:pPr>
    </w:p>
    <w:p w14:paraId="4F9CA179">
      <w:pPr>
        <w:widowControl/>
        <w:spacing w:line="600" w:lineRule="exact"/>
        <w:jc w:val="left"/>
        <w:rPr>
          <w:rFonts w:hint="eastAsia" w:ascii="黑体" w:hAnsi="黑体" w:eastAsia="黑体" w:cs="黑体"/>
          <w:sz w:val="32"/>
          <w:szCs w:val="32"/>
          <w:highlight w:val="none"/>
        </w:rPr>
      </w:pPr>
    </w:p>
    <w:p w14:paraId="068E7B8F">
      <w:pPr>
        <w:widowControl/>
        <w:spacing w:line="600" w:lineRule="exact"/>
        <w:jc w:val="left"/>
        <w:rPr>
          <w:rFonts w:hint="eastAsia" w:ascii="黑体" w:hAnsi="黑体" w:eastAsia="黑体" w:cs="黑体"/>
          <w:sz w:val="32"/>
          <w:szCs w:val="32"/>
          <w:highlight w:val="none"/>
        </w:rPr>
      </w:pPr>
    </w:p>
    <w:p w14:paraId="17F3CFA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14:paraId="2305154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230"/>
        <w:gridCol w:w="732"/>
        <w:gridCol w:w="873"/>
        <w:gridCol w:w="1418"/>
      </w:tblGrid>
      <w:tr w14:paraId="53AFB62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6F046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D0629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00E7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城管事务经费</w:t>
            </w:r>
            <w:r>
              <w:rPr>
                <w:rFonts w:hint="eastAsia" w:ascii="仿宋_GB2312" w:hAnsi="仿宋_GB2312" w:eastAsia="仿宋_GB2312" w:cs="仿宋_GB2312"/>
                <w:color w:val="000000"/>
                <w:sz w:val="20"/>
                <w:szCs w:val="20"/>
                <w:highlight w:val="none"/>
              </w:rPr>
              <w:t>　</w:t>
            </w:r>
          </w:p>
        </w:tc>
      </w:tr>
      <w:tr w14:paraId="32F85522">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6FF001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1A4EC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230" w:type="dxa"/>
            <w:tcBorders>
              <w:top w:val="single" w:color="auto" w:sz="4" w:space="0"/>
              <w:left w:val="nil"/>
              <w:bottom w:val="single" w:color="auto" w:sz="4" w:space="0"/>
              <w:right w:val="single" w:color="000000" w:sz="4" w:space="0"/>
            </w:tcBorders>
            <w:noWrap w:val="0"/>
            <w:vAlign w:val="center"/>
          </w:tcPr>
          <w:p w14:paraId="0851C3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023" w:type="dxa"/>
            <w:gridSpan w:val="3"/>
            <w:tcBorders>
              <w:top w:val="single" w:color="auto" w:sz="4" w:space="0"/>
              <w:left w:val="nil"/>
              <w:bottom w:val="single" w:color="auto" w:sz="4" w:space="0"/>
              <w:right w:val="single" w:color="auto" w:sz="4" w:space="0"/>
            </w:tcBorders>
            <w:noWrap w:val="0"/>
            <w:vAlign w:val="center"/>
          </w:tcPr>
          <w:p w14:paraId="536F36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14:paraId="1326524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BC13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46292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DE9DE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CA5A8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A28A7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16633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0" w:type="dxa"/>
            <w:tcBorders>
              <w:top w:val="nil"/>
              <w:left w:val="nil"/>
              <w:bottom w:val="single" w:color="auto" w:sz="4" w:space="0"/>
              <w:right w:val="single" w:color="auto" w:sz="4" w:space="0"/>
            </w:tcBorders>
            <w:noWrap w:val="0"/>
            <w:vAlign w:val="center"/>
          </w:tcPr>
          <w:p w14:paraId="4B5C53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43F2C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2" w:type="dxa"/>
            <w:tcBorders>
              <w:top w:val="nil"/>
              <w:left w:val="nil"/>
              <w:bottom w:val="single" w:color="auto" w:sz="4" w:space="0"/>
              <w:right w:val="single" w:color="auto" w:sz="4" w:space="0"/>
            </w:tcBorders>
            <w:noWrap w:val="0"/>
            <w:vAlign w:val="center"/>
          </w:tcPr>
          <w:p w14:paraId="2D132F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F933E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EE490B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7B2077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551B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B084F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5FE3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110.31</w:t>
            </w:r>
          </w:p>
        </w:tc>
        <w:tc>
          <w:tcPr>
            <w:tcW w:w="1134" w:type="dxa"/>
            <w:tcBorders>
              <w:top w:val="nil"/>
              <w:left w:val="nil"/>
              <w:bottom w:val="single" w:color="auto" w:sz="4" w:space="0"/>
              <w:right w:val="single" w:color="auto" w:sz="4" w:space="0"/>
            </w:tcBorders>
            <w:noWrap w:val="0"/>
            <w:vAlign w:val="center"/>
          </w:tcPr>
          <w:p w14:paraId="780724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249.66</w:t>
            </w:r>
          </w:p>
        </w:tc>
        <w:tc>
          <w:tcPr>
            <w:tcW w:w="1230" w:type="dxa"/>
            <w:tcBorders>
              <w:top w:val="nil"/>
              <w:left w:val="nil"/>
              <w:bottom w:val="single" w:color="auto" w:sz="4" w:space="0"/>
              <w:right w:val="single" w:color="auto" w:sz="4" w:space="0"/>
            </w:tcBorders>
            <w:noWrap w:val="0"/>
            <w:vAlign w:val="center"/>
          </w:tcPr>
          <w:p w14:paraId="6F8B58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244.65</w:t>
            </w:r>
          </w:p>
        </w:tc>
        <w:tc>
          <w:tcPr>
            <w:tcW w:w="732" w:type="dxa"/>
            <w:tcBorders>
              <w:top w:val="nil"/>
              <w:left w:val="nil"/>
              <w:bottom w:val="single" w:color="auto" w:sz="4" w:space="0"/>
              <w:right w:val="single" w:color="auto" w:sz="4" w:space="0"/>
            </w:tcBorders>
            <w:noWrap w:val="0"/>
            <w:vAlign w:val="center"/>
          </w:tcPr>
          <w:p w14:paraId="15E16E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35AC7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97.99%</w:t>
            </w:r>
          </w:p>
        </w:tc>
        <w:tc>
          <w:tcPr>
            <w:tcW w:w="1418" w:type="dxa"/>
            <w:tcBorders>
              <w:top w:val="nil"/>
              <w:left w:val="nil"/>
              <w:bottom w:val="single" w:color="auto" w:sz="4" w:space="0"/>
              <w:right w:val="single" w:color="auto" w:sz="4" w:space="0"/>
            </w:tcBorders>
            <w:noWrap w:val="0"/>
            <w:vAlign w:val="center"/>
          </w:tcPr>
          <w:p w14:paraId="26234D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r>
      <w:tr w14:paraId="1E6522CC">
        <w:tblPrEx>
          <w:tblCellMar>
            <w:top w:w="0" w:type="dxa"/>
            <w:left w:w="108" w:type="dxa"/>
            <w:bottom w:w="0" w:type="dxa"/>
            <w:right w:w="108" w:type="dxa"/>
          </w:tblCellMar>
        </w:tblPrEx>
        <w:trPr>
          <w:trHeight w:val="20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E9362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0C1D7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7715B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100.00</w:t>
            </w:r>
          </w:p>
        </w:tc>
        <w:tc>
          <w:tcPr>
            <w:tcW w:w="1134" w:type="dxa"/>
            <w:tcBorders>
              <w:top w:val="nil"/>
              <w:left w:val="nil"/>
              <w:bottom w:val="single" w:color="auto" w:sz="4" w:space="0"/>
              <w:right w:val="single" w:color="auto" w:sz="4" w:space="0"/>
            </w:tcBorders>
            <w:noWrap w:val="0"/>
            <w:vAlign w:val="center"/>
          </w:tcPr>
          <w:p w14:paraId="0CB635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239.35</w:t>
            </w:r>
          </w:p>
        </w:tc>
        <w:tc>
          <w:tcPr>
            <w:tcW w:w="1230" w:type="dxa"/>
            <w:tcBorders>
              <w:top w:val="nil"/>
              <w:left w:val="nil"/>
              <w:bottom w:val="single" w:color="auto" w:sz="4" w:space="0"/>
              <w:right w:val="single" w:color="auto" w:sz="4" w:space="0"/>
            </w:tcBorders>
            <w:noWrap w:val="0"/>
            <w:vAlign w:val="center"/>
          </w:tcPr>
          <w:p w14:paraId="39036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234.34</w:t>
            </w:r>
          </w:p>
        </w:tc>
        <w:tc>
          <w:tcPr>
            <w:tcW w:w="732" w:type="dxa"/>
            <w:tcBorders>
              <w:top w:val="nil"/>
              <w:left w:val="nil"/>
              <w:bottom w:val="single" w:color="auto" w:sz="4" w:space="0"/>
              <w:right w:val="single" w:color="auto" w:sz="4" w:space="0"/>
            </w:tcBorders>
            <w:noWrap w:val="0"/>
            <w:vAlign w:val="center"/>
          </w:tcPr>
          <w:p w14:paraId="2457EB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2CE5A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7F8C4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2E11A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7ED4E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F6EA6D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185BC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10.31</w:t>
            </w:r>
          </w:p>
        </w:tc>
        <w:tc>
          <w:tcPr>
            <w:tcW w:w="1134" w:type="dxa"/>
            <w:tcBorders>
              <w:top w:val="nil"/>
              <w:left w:val="nil"/>
              <w:bottom w:val="single" w:color="auto" w:sz="4" w:space="0"/>
              <w:right w:val="single" w:color="auto" w:sz="4" w:space="0"/>
            </w:tcBorders>
            <w:noWrap w:val="0"/>
            <w:vAlign w:val="center"/>
          </w:tcPr>
          <w:p w14:paraId="59874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10.31</w:t>
            </w:r>
          </w:p>
        </w:tc>
        <w:tc>
          <w:tcPr>
            <w:tcW w:w="1230" w:type="dxa"/>
            <w:tcBorders>
              <w:top w:val="nil"/>
              <w:left w:val="nil"/>
              <w:bottom w:val="single" w:color="auto" w:sz="4" w:space="0"/>
              <w:right w:val="single" w:color="auto" w:sz="4" w:space="0"/>
            </w:tcBorders>
            <w:noWrap w:val="0"/>
            <w:vAlign w:val="center"/>
          </w:tcPr>
          <w:p w14:paraId="25F190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10.31</w:t>
            </w:r>
          </w:p>
        </w:tc>
        <w:tc>
          <w:tcPr>
            <w:tcW w:w="732" w:type="dxa"/>
            <w:tcBorders>
              <w:top w:val="nil"/>
              <w:left w:val="nil"/>
              <w:bottom w:val="single" w:color="auto" w:sz="4" w:space="0"/>
              <w:right w:val="single" w:color="auto" w:sz="4" w:space="0"/>
            </w:tcBorders>
            <w:noWrap w:val="0"/>
            <w:vAlign w:val="center"/>
          </w:tcPr>
          <w:p w14:paraId="1A1B85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856AB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827F5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C7674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CA4A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90BB4A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DDD44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F66F3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0" w:type="dxa"/>
            <w:tcBorders>
              <w:top w:val="nil"/>
              <w:left w:val="nil"/>
              <w:bottom w:val="single" w:color="auto" w:sz="4" w:space="0"/>
              <w:right w:val="single" w:color="auto" w:sz="4" w:space="0"/>
            </w:tcBorders>
            <w:noWrap w:val="0"/>
            <w:vAlign w:val="center"/>
          </w:tcPr>
          <w:p w14:paraId="516399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2" w:type="dxa"/>
            <w:tcBorders>
              <w:top w:val="nil"/>
              <w:left w:val="nil"/>
              <w:bottom w:val="single" w:color="auto" w:sz="4" w:space="0"/>
              <w:right w:val="single" w:color="auto" w:sz="4" w:space="0"/>
            </w:tcBorders>
            <w:noWrap w:val="0"/>
            <w:vAlign w:val="center"/>
          </w:tcPr>
          <w:p w14:paraId="204F90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BCF33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1F4D1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791745">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01D2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90ACD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E16A6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6465674">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39EA3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DC7E0FA">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及时快速处理火车站地区管理中出现的难点问题</w:t>
            </w:r>
            <w:r>
              <w:rPr>
                <w:rFonts w:hint="eastAsia" w:ascii="仿宋_GB2312" w:hAnsi="仿宋_GB2312" w:eastAsia="仿宋_GB2312" w:cs="仿宋_GB2312"/>
                <w:color w:val="000000"/>
                <w:sz w:val="20"/>
                <w:szCs w:val="20"/>
                <w:highlight w:val="none"/>
                <w:lang w:eastAsia="zh-CN"/>
              </w:rPr>
              <w:t>；</w:t>
            </w:r>
          </w:p>
          <w:p w14:paraId="6B58003C">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2、出色完成市委市政府交办的临时性中心工作和重大迎检接待工作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14:paraId="538CA207">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3、打造环境优美、秩序井然、干净整洁的窗口环境；</w:t>
            </w:r>
          </w:p>
          <w:p w14:paraId="1229C738">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4、保证火车站广场和火车东站广场设施设备的正常运转，确保无欠费等原因导致停水停电现象；</w:t>
            </w:r>
          </w:p>
          <w:p w14:paraId="01257206">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5、春运期间，为过往旅客提供优质高效的便民服务，如提供茶水、药品、雨伞等物品，全面完成本年度春运工作任务；</w:t>
            </w:r>
          </w:p>
          <w:p w14:paraId="4FD9D39C">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6、行政许可和行政处罚完全依法依规，以罚代管、以罚代收现象销声匿迹，实现真正的管罚分离；</w:t>
            </w:r>
          </w:p>
          <w:p w14:paraId="568240CA">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7、及时快速处理火车站广场和火车东站广场管理中出现的突发性问题，如出现执法纠纷迅速赶到现场进行处置，遏制执法事故发生。　　</w:t>
            </w:r>
          </w:p>
        </w:tc>
        <w:tc>
          <w:tcPr>
            <w:tcW w:w="4253" w:type="dxa"/>
            <w:gridSpan w:val="4"/>
            <w:tcBorders>
              <w:top w:val="single" w:color="auto" w:sz="4" w:space="0"/>
              <w:left w:val="nil"/>
              <w:bottom w:val="single" w:color="auto" w:sz="4" w:space="0"/>
              <w:right w:val="single" w:color="auto" w:sz="4" w:space="0"/>
            </w:tcBorders>
            <w:noWrap w:val="0"/>
            <w:vAlign w:val="center"/>
          </w:tcPr>
          <w:p w14:paraId="1AAA6ED8">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火车站地区管理中出现的难点问题</w:t>
            </w:r>
            <w:r>
              <w:rPr>
                <w:rFonts w:hint="eastAsia" w:ascii="仿宋_GB2312" w:hAnsi="仿宋_GB2312" w:eastAsia="仿宋_GB2312" w:cs="仿宋_GB2312"/>
                <w:color w:val="000000"/>
                <w:sz w:val="20"/>
                <w:szCs w:val="20"/>
                <w:highlight w:val="none"/>
                <w:lang w:eastAsia="zh-CN"/>
              </w:rPr>
              <w:t>；</w:t>
            </w:r>
          </w:p>
          <w:p w14:paraId="22F0AC48">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eastAsia="zh-CN"/>
              </w:rPr>
              <w:t>高标准</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14:paraId="14DF7315">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w:t>
            </w:r>
          </w:p>
          <w:p w14:paraId="1ED068C0">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4、火车站广场和火车东站广场设施设备</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正常运转，</w:t>
            </w:r>
            <w:r>
              <w:rPr>
                <w:rFonts w:hint="eastAsia" w:ascii="仿宋_GB2312" w:hAnsi="仿宋_GB2312" w:eastAsia="仿宋_GB2312" w:cs="仿宋_GB2312"/>
                <w:color w:val="000000"/>
                <w:sz w:val="20"/>
                <w:szCs w:val="20"/>
                <w:highlight w:val="none"/>
                <w:lang w:eastAsia="zh-CN"/>
              </w:rPr>
              <w:t>保障了设施设备正常供水供</w:t>
            </w:r>
            <w:r>
              <w:rPr>
                <w:rFonts w:hint="eastAsia" w:ascii="仿宋_GB2312" w:hAnsi="仿宋_GB2312" w:eastAsia="仿宋_GB2312" w:cs="仿宋_GB2312"/>
                <w:color w:val="000000"/>
                <w:sz w:val="20"/>
                <w:szCs w:val="20"/>
                <w:highlight w:val="none"/>
              </w:rPr>
              <w:t>电；</w:t>
            </w:r>
          </w:p>
          <w:p w14:paraId="3B6AFBCC">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优质高效的便民服务，如提供茶水、药品、雨伞等物品，全面完成本年度春运工作任务；</w:t>
            </w:r>
          </w:p>
          <w:p w14:paraId="7006D5F6">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真正的管罚分离；</w:t>
            </w:r>
          </w:p>
          <w:p w14:paraId="5B4097D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w:t>
            </w:r>
            <w:r>
              <w:rPr>
                <w:rFonts w:hint="eastAsia" w:ascii="仿宋_GB2312" w:hAnsi="仿宋_GB2312" w:eastAsia="仿宋_GB2312" w:cs="仿宋_GB2312"/>
                <w:color w:val="000000"/>
                <w:sz w:val="20"/>
                <w:szCs w:val="20"/>
                <w:highlight w:val="none"/>
                <w:lang w:eastAsia="zh-CN"/>
              </w:rPr>
              <w:t>置了</w:t>
            </w:r>
            <w:r>
              <w:rPr>
                <w:rFonts w:hint="eastAsia" w:ascii="仿宋_GB2312" w:hAnsi="仿宋_GB2312" w:eastAsia="仿宋_GB2312" w:cs="仿宋_GB2312"/>
                <w:color w:val="000000"/>
                <w:sz w:val="20"/>
                <w:szCs w:val="20"/>
                <w:highlight w:val="none"/>
              </w:rPr>
              <w:t>火车站广场和火车东站广场管理中出现的突发性问题，如出现执法纠纷迅速赶到现场进行处置，遏制执法事故发生。　　</w:t>
            </w:r>
          </w:p>
        </w:tc>
      </w:tr>
      <w:tr w14:paraId="60932B14">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EFB21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76C1C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8693E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DADE6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009B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6874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9204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2268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45A7D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3566F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E925E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A0E5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693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9791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4D650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65D8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D2E41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E932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88075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59F91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BCA21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火车站地区交通秩序整治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45CF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90C39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CDD1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8E52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BB58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E0C61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D1264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B9B8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312FE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B897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火车站地区市政设施维护整治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641D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69CC7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67100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96D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B4AE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702C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D9BC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3C3B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B1346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86C5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火车站地区绿化、规范问题整治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41123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9DDA46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B48720D">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757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366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B8F6D08">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03EB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ABDF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AC7D5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E407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火车站地区食品药品、物价、文化市场管理秩序整治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4D0F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8A09D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24次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75D0D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B8A40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5440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B5F7B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AF44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967E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05DF0B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B85E4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中心工作和重大迎检接待工作完成率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FA0AD6">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9307CBD">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00966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1F0B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78928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A693CA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7E3B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810A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DD74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AB4ED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color w:val="000000"/>
                <w:sz w:val="20"/>
                <w:szCs w:val="20"/>
                <w:highlight w:val="none"/>
              </w:rPr>
            </w:pPr>
            <w:r>
              <w:rPr>
                <w:rFonts w:hint="eastAsia" w:ascii="CESI仿宋-GB2312" w:hAnsi="CESI仿宋-GB2312" w:eastAsia="CESI仿宋-GB2312" w:cs="CESI仿宋-GB2312"/>
                <w:i w:val="0"/>
                <w:color w:val="000000"/>
                <w:kern w:val="0"/>
                <w:sz w:val="20"/>
                <w:szCs w:val="20"/>
                <w:u w:val="none"/>
                <w:lang w:val="en-US" w:eastAsia="zh-CN" w:bidi="ar"/>
              </w:rPr>
              <w:t>综合整治确保两站秩序良好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9E08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i w:val="0"/>
                <w:color w:val="000000"/>
                <w:kern w:val="0"/>
                <w:sz w:val="20"/>
                <w:szCs w:val="20"/>
                <w:u w:val="none"/>
                <w:lang w:val="en-US" w:eastAsia="zh-CN" w:bidi="ar"/>
              </w:rPr>
              <w:t>达到相关行业要求</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5C937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CESI仿宋-GB2312" w:hAnsi="CESI仿宋-GB2312" w:eastAsia="CESI仿宋-GB2312" w:cs="CESI仿宋-GB2312"/>
                <w:color w:val="000000"/>
                <w:sz w:val="20"/>
                <w:szCs w:val="20"/>
                <w:highlight w:val="none"/>
                <w:lang w:val="en-US" w:eastAsia="zh-CN"/>
              </w:rPr>
            </w:pPr>
            <w:r>
              <w:rPr>
                <w:rFonts w:hint="eastAsia" w:ascii="CESI仿宋-GB2312" w:hAnsi="CESI仿宋-GB2312" w:eastAsia="CESI仿宋-GB2312" w:cs="CESI仿宋-GB2312"/>
                <w:i w:val="0"/>
                <w:color w:val="000000"/>
                <w:kern w:val="0"/>
                <w:sz w:val="20"/>
                <w:szCs w:val="20"/>
                <w:u w:val="none"/>
                <w:lang w:val="en-US" w:eastAsia="zh-CN" w:bidi="ar"/>
              </w:rPr>
              <w:t>均符合相关行业标准</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00244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0547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C51D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82722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67C3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8A30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9F3D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C95F0F9">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依法文明执</w:t>
            </w:r>
            <w:r>
              <w:rPr>
                <w:rFonts w:hint="eastAsia" w:ascii="仿宋_GB2312" w:hAnsi="仿宋_GB2312" w:eastAsia="仿宋_GB2312" w:cs="仿宋_GB2312"/>
                <w:color w:val="000000"/>
                <w:sz w:val="20"/>
                <w:szCs w:val="20"/>
                <w:lang w:val="en-US" w:eastAsia="zh-CN"/>
              </w:rPr>
              <w:t>勤</w:t>
            </w:r>
            <w:r>
              <w:rPr>
                <w:rFonts w:hint="eastAsia" w:ascii="仿宋_GB2312" w:hAnsi="仿宋_GB2312" w:eastAsia="仿宋_GB2312" w:cs="仿宋_GB2312"/>
                <w:color w:val="000000"/>
                <w:sz w:val="20"/>
                <w:szCs w:val="20"/>
              </w:rPr>
              <w:t>，操作合规，无投诉。</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201890">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_GB2312" w:hAnsi="仿宋_GB2312" w:eastAsia="仿宋_GB2312" w:cs="仿宋_GB2312"/>
                <w:bCs/>
                <w:color w:val="000000"/>
                <w:kern w:val="0"/>
                <w:sz w:val="20"/>
                <w:szCs w:val="20"/>
                <w:lang w:val="en-US" w:eastAsia="zh-CN" w:bidi="ar-SA"/>
              </w:rPr>
            </w:pPr>
            <w:r>
              <w:rPr>
                <w:rFonts w:hint="eastAsia" w:ascii="仿宋_GB2312" w:hAnsi="仿宋_GB2312" w:eastAsia="仿宋_GB2312" w:cs="仿宋_GB2312"/>
                <w:bCs/>
                <w:sz w:val="20"/>
                <w:szCs w:val="20"/>
                <w:lang w:val="en-US" w:eastAsia="zh-CN"/>
              </w:rPr>
              <w:t>无</w:t>
            </w:r>
            <w:r>
              <w:rPr>
                <w:rFonts w:hint="eastAsia" w:ascii="仿宋_GB2312" w:hAnsi="仿宋_GB2312" w:eastAsia="仿宋_GB2312" w:cs="仿宋_GB2312"/>
                <w:bCs/>
                <w:sz w:val="20"/>
                <w:szCs w:val="20"/>
              </w:rPr>
              <w:t>违规操作投诉</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A01B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Cs/>
                <w:sz w:val="20"/>
                <w:szCs w:val="20"/>
              </w:rPr>
              <w:t>完成良好，无违规操作，无投诉。</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97C7E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B4FC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E39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55FDE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785E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F425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61CF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24C6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及时完成预定</w:t>
            </w:r>
            <w:r>
              <w:rPr>
                <w:rFonts w:hint="eastAsia" w:ascii="仿宋_GB2312" w:hAnsi="仿宋_GB2312" w:eastAsia="仿宋_GB2312" w:cs="仿宋_GB2312"/>
                <w:color w:val="000000"/>
                <w:sz w:val="20"/>
                <w:szCs w:val="20"/>
                <w:highlight w:val="none"/>
                <w:lang w:eastAsia="zh-CN"/>
              </w:rPr>
              <w:t>工作</w:t>
            </w:r>
            <w:r>
              <w:rPr>
                <w:rFonts w:hint="eastAsia" w:ascii="仿宋_GB2312" w:hAnsi="仿宋_GB2312" w:eastAsia="仿宋_GB2312" w:cs="仿宋_GB2312"/>
                <w:color w:val="000000"/>
                <w:sz w:val="20"/>
                <w:szCs w:val="20"/>
                <w:highlight w:val="none"/>
              </w:rPr>
              <w:t>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8A60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D4DB2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7D727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1DA31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4E0E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04539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75F6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152D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10BD0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821D6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99ED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0A31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222A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4D88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74CA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DCCFD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C8CC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493B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A0548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8342D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1492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w:t>
            </w:r>
            <w:r>
              <w:rPr>
                <w:rFonts w:hint="eastAsia" w:ascii="仿宋_GB2312" w:hAnsi="仿宋_GB2312" w:eastAsia="仿宋_GB2312" w:cs="仿宋_GB2312"/>
                <w:color w:val="000000"/>
                <w:sz w:val="20"/>
                <w:szCs w:val="20"/>
                <w:highlight w:val="none"/>
                <w:lang w:eastAsia="zh-CN"/>
              </w:rPr>
              <w:t>金额</w:t>
            </w:r>
            <w:r>
              <w:rPr>
                <w:rFonts w:hint="eastAsia" w:ascii="仿宋_GB2312" w:hAnsi="仿宋_GB2312" w:eastAsia="仿宋_GB2312" w:cs="仿宋_GB2312"/>
                <w:color w:val="000000"/>
                <w:sz w:val="20"/>
                <w:szCs w:val="20"/>
                <w:highlight w:val="none"/>
              </w:rPr>
              <w:t>内</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73C88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378D2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D580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153F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E31A6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F656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6AE6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5E4B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7677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147B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06514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3252F6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ECA1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92B7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2E215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BD64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A145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FA57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A1B8E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E7CA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76FD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C3CA0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7642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FCAD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6BFAB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67D7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EB7BA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90D6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158C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167C8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778F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9796A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6066C3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2C7DB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产生一定的间接经济效益</w:t>
            </w:r>
          </w:p>
          <w:p w14:paraId="0B02C1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F7C47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w:t>
            </w:r>
            <w:r>
              <w:rPr>
                <w:rFonts w:hint="eastAsia" w:ascii="仿宋_GB2312" w:hAnsi="仿宋_GB2312" w:eastAsia="仿宋_GB2312" w:cs="仿宋_GB2312"/>
                <w:kern w:val="0"/>
                <w:sz w:val="20"/>
                <w:szCs w:val="20"/>
                <w:lang w:val="en-US" w:eastAsia="zh-CN"/>
              </w:rPr>
              <w:t>了</w:t>
            </w:r>
            <w:r>
              <w:rPr>
                <w:rFonts w:hint="eastAsia" w:ascii="仿宋_GB2312" w:hAnsi="仿宋_GB2312" w:eastAsia="仿宋_GB2312" w:cs="仿宋_GB2312"/>
                <w:kern w:val="0"/>
                <w:sz w:val="20"/>
                <w:szCs w:val="20"/>
              </w:rPr>
              <w:t>外商在岳投资发展产业</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B720B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142A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5577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624FE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D52B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5358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0084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55F196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EE798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8B4E0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吸引外来游客</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助力旅游业发展。</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C6F1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3231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7A10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6CF0A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3B81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4951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CC30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04B1D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2C90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打造环境优美、秩序井然、干净整洁的窗口环境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5526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加强两站地区秩序管理，打造窗口场站。</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372C8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火车站地区管理秩序得到不断</w:t>
            </w:r>
            <w:r>
              <w:rPr>
                <w:rFonts w:hint="eastAsia" w:ascii="仿宋_GB2312" w:hAnsi="仿宋_GB2312" w:eastAsia="仿宋_GB2312" w:cs="仿宋_GB2312"/>
                <w:color w:val="000000"/>
                <w:sz w:val="20"/>
                <w:szCs w:val="20"/>
                <w:highlight w:val="none"/>
              </w:rPr>
              <w:t>改善</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15254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F175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A088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站场秩序管理常态化有待加强，下一步加强管理提升场站秩序。</w:t>
            </w:r>
          </w:p>
        </w:tc>
      </w:tr>
      <w:tr w14:paraId="22BBA4B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A5F3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B140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3C6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81CE0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0047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BC58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E540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8ADB0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B01A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08D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B39C6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C9F6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95C1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6F1B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6F77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规范场站管理秩序，提升城市形象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EFD9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提升场站管理秩序</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B51A1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管理秩序明显提升</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2E065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C76F2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864D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85152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5DE1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6814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9D83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0B11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维护两站秩序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9E74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营造良好的出行环境</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4D066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04A03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B54A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F89B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7D03A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8698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6D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8573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A3DAE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1A0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811A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EDB1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9F3D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EA21A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94FC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13A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90C7D4">
        <w:tblPrEx>
          <w:tblCellMar>
            <w:top w:w="0" w:type="dxa"/>
            <w:left w:w="108" w:type="dxa"/>
            <w:bottom w:w="0" w:type="dxa"/>
            <w:right w:w="108" w:type="dxa"/>
          </w:tblCellMar>
        </w:tblPrEx>
        <w:trPr>
          <w:trHeight w:val="435" w:hRule="atLeast"/>
          <w:jc w:val="center"/>
        </w:trPr>
        <w:tc>
          <w:tcPr>
            <w:tcW w:w="6828" w:type="dxa"/>
            <w:gridSpan w:val="6"/>
            <w:tcBorders>
              <w:top w:val="single" w:color="auto" w:sz="4" w:space="0"/>
              <w:left w:val="single" w:color="auto" w:sz="4" w:space="0"/>
              <w:bottom w:val="single" w:color="auto" w:sz="4" w:space="0"/>
              <w:right w:val="single" w:color="000000" w:sz="4" w:space="0"/>
            </w:tcBorders>
            <w:noWrap w:val="0"/>
            <w:vAlign w:val="center"/>
          </w:tcPr>
          <w:p w14:paraId="37BCBF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2" w:type="dxa"/>
            <w:tcBorders>
              <w:top w:val="single" w:color="auto" w:sz="4" w:space="0"/>
              <w:left w:val="nil"/>
              <w:bottom w:val="single" w:color="auto" w:sz="4" w:space="0"/>
              <w:right w:val="single" w:color="auto" w:sz="4" w:space="0"/>
            </w:tcBorders>
            <w:noWrap w:val="0"/>
            <w:vAlign w:val="center"/>
          </w:tcPr>
          <w:p w14:paraId="56FDAE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14:paraId="490E01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98.8</w:t>
            </w:r>
          </w:p>
        </w:tc>
        <w:tc>
          <w:tcPr>
            <w:tcW w:w="1418" w:type="dxa"/>
            <w:tcBorders>
              <w:top w:val="single" w:color="auto" w:sz="4" w:space="0"/>
              <w:left w:val="nil"/>
              <w:bottom w:val="single" w:color="auto" w:sz="4" w:space="0"/>
              <w:right w:val="single" w:color="auto" w:sz="4" w:space="0"/>
            </w:tcBorders>
            <w:noWrap w:val="0"/>
            <w:vAlign w:val="center"/>
          </w:tcPr>
          <w:p w14:paraId="2A0A84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7C14C76">
      <w:pPr>
        <w:rPr>
          <w:rFonts w:hint="default" w:ascii="Times New Roman" w:hAnsi="Times New Roman" w:eastAsia="仿宋_GB2312" w:cs="Times New Roman"/>
          <w:sz w:val="18"/>
          <w:szCs w:val="18"/>
          <w:highlight w:val="none"/>
        </w:rPr>
      </w:pPr>
    </w:p>
    <w:p w14:paraId="28749EC0">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14:paraId="233E580C">
      <w:pPr>
        <w:widowControl/>
        <w:spacing w:line="600" w:lineRule="exact"/>
        <w:jc w:val="left"/>
        <w:rPr>
          <w:rFonts w:hint="eastAsia" w:ascii="黑体" w:hAnsi="黑体" w:eastAsia="黑体" w:cs="黑体"/>
          <w:sz w:val="32"/>
          <w:szCs w:val="32"/>
          <w:highlight w:val="none"/>
        </w:rPr>
      </w:pPr>
    </w:p>
    <w:p w14:paraId="4553F8C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14:paraId="574552B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14:paraId="229FDF5C">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9AC1E0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DFAFB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FBE87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C82CE4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办案费</w:t>
            </w:r>
            <w:r>
              <w:rPr>
                <w:rFonts w:hint="eastAsia" w:ascii="仿宋_GB2312" w:hAnsi="仿宋_GB2312" w:eastAsia="仿宋_GB2312" w:cs="仿宋_GB2312"/>
                <w:color w:val="000000"/>
                <w:sz w:val="20"/>
                <w:szCs w:val="20"/>
                <w:highlight w:val="none"/>
              </w:rPr>
              <w:t>　</w:t>
            </w:r>
          </w:p>
        </w:tc>
      </w:tr>
      <w:tr w14:paraId="45C072F9">
        <w:tblPrEx>
          <w:tblCellMar>
            <w:top w:w="0" w:type="dxa"/>
            <w:left w:w="108" w:type="dxa"/>
            <w:bottom w:w="0" w:type="dxa"/>
            <w:right w:w="108" w:type="dxa"/>
          </w:tblCellMar>
        </w:tblPrEx>
        <w:trPr>
          <w:trHeight w:val="424"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58324B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4A628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134" w:type="dxa"/>
            <w:tcBorders>
              <w:top w:val="single" w:color="auto" w:sz="4" w:space="0"/>
              <w:left w:val="nil"/>
              <w:bottom w:val="single" w:color="auto" w:sz="4" w:space="0"/>
              <w:right w:val="single" w:color="000000" w:sz="4" w:space="0"/>
            </w:tcBorders>
            <w:noWrap w:val="0"/>
            <w:vAlign w:val="center"/>
          </w:tcPr>
          <w:p w14:paraId="4261204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ED9EA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14:paraId="6488A65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3DBFE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2EDE7C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434381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CD5BB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C4D14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4DC89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4577B7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F9AC7D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DA13A1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188FDA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7DE9A5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4C29E1D">
        <w:tblPrEx>
          <w:tblCellMar>
            <w:top w:w="0" w:type="dxa"/>
            <w:left w:w="108" w:type="dxa"/>
            <w:bottom w:w="0" w:type="dxa"/>
            <w:right w:w="108" w:type="dxa"/>
          </w:tblCellMar>
        </w:tblPrEx>
        <w:trPr>
          <w:trHeight w:val="42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08CB85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A8F442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644D6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2.51</w:t>
            </w:r>
          </w:p>
        </w:tc>
        <w:tc>
          <w:tcPr>
            <w:tcW w:w="1134" w:type="dxa"/>
            <w:tcBorders>
              <w:top w:val="nil"/>
              <w:left w:val="nil"/>
              <w:bottom w:val="single" w:color="auto" w:sz="4" w:space="0"/>
              <w:right w:val="single" w:color="auto" w:sz="4" w:space="0"/>
            </w:tcBorders>
            <w:noWrap w:val="0"/>
            <w:vAlign w:val="center"/>
          </w:tcPr>
          <w:p w14:paraId="22B007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32.26</w:t>
            </w:r>
          </w:p>
        </w:tc>
        <w:tc>
          <w:tcPr>
            <w:tcW w:w="1134" w:type="dxa"/>
            <w:tcBorders>
              <w:top w:val="nil"/>
              <w:left w:val="nil"/>
              <w:bottom w:val="single" w:color="auto" w:sz="4" w:space="0"/>
              <w:right w:val="single" w:color="auto" w:sz="4" w:space="0"/>
            </w:tcBorders>
            <w:noWrap w:val="0"/>
            <w:vAlign w:val="center"/>
          </w:tcPr>
          <w:p w14:paraId="44CEE3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32.26</w:t>
            </w:r>
          </w:p>
        </w:tc>
        <w:tc>
          <w:tcPr>
            <w:tcW w:w="828" w:type="dxa"/>
            <w:tcBorders>
              <w:top w:val="nil"/>
              <w:left w:val="nil"/>
              <w:bottom w:val="single" w:color="auto" w:sz="4" w:space="0"/>
              <w:right w:val="single" w:color="auto" w:sz="4" w:space="0"/>
            </w:tcBorders>
            <w:noWrap w:val="0"/>
            <w:vAlign w:val="center"/>
          </w:tcPr>
          <w:p w14:paraId="1434FDA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C9DECD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00FE906F">
            <w:pPr>
              <w:keepNext w:val="0"/>
              <w:keepLines w:val="0"/>
              <w:pageBreakBefore w:val="0"/>
              <w:widowControl/>
              <w:tabs>
                <w:tab w:val="left" w:pos="557"/>
              </w:tabs>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10</w:t>
            </w:r>
          </w:p>
        </w:tc>
      </w:tr>
      <w:tr w14:paraId="66584082">
        <w:tblPrEx>
          <w:tblCellMar>
            <w:top w:w="0" w:type="dxa"/>
            <w:left w:w="108" w:type="dxa"/>
            <w:bottom w:w="0" w:type="dxa"/>
            <w:right w:w="108" w:type="dxa"/>
          </w:tblCellMar>
        </w:tblPrEx>
        <w:trPr>
          <w:trHeight w:val="5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7FEDD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C5EB28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B14573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2.50</w:t>
            </w:r>
          </w:p>
        </w:tc>
        <w:tc>
          <w:tcPr>
            <w:tcW w:w="1134" w:type="dxa"/>
            <w:tcBorders>
              <w:top w:val="nil"/>
              <w:left w:val="nil"/>
              <w:bottom w:val="single" w:color="auto" w:sz="4" w:space="0"/>
              <w:right w:val="single" w:color="auto" w:sz="4" w:space="0"/>
            </w:tcBorders>
            <w:noWrap w:val="0"/>
            <w:vAlign w:val="center"/>
          </w:tcPr>
          <w:p w14:paraId="2A56323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32.25</w:t>
            </w:r>
          </w:p>
        </w:tc>
        <w:tc>
          <w:tcPr>
            <w:tcW w:w="1134" w:type="dxa"/>
            <w:tcBorders>
              <w:top w:val="nil"/>
              <w:left w:val="nil"/>
              <w:bottom w:val="single" w:color="auto" w:sz="4" w:space="0"/>
              <w:right w:val="single" w:color="auto" w:sz="4" w:space="0"/>
            </w:tcBorders>
            <w:noWrap w:val="0"/>
            <w:vAlign w:val="center"/>
          </w:tcPr>
          <w:p w14:paraId="31CCE14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32.25</w:t>
            </w:r>
          </w:p>
        </w:tc>
        <w:tc>
          <w:tcPr>
            <w:tcW w:w="828" w:type="dxa"/>
            <w:tcBorders>
              <w:top w:val="nil"/>
              <w:left w:val="nil"/>
              <w:bottom w:val="single" w:color="auto" w:sz="4" w:space="0"/>
              <w:right w:val="single" w:color="auto" w:sz="4" w:space="0"/>
            </w:tcBorders>
            <w:noWrap w:val="0"/>
            <w:vAlign w:val="center"/>
          </w:tcPr>
          <w:p w14:paraId="19703ED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37FBD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A5EB90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50C50E">
        <w:tblPrEx>
          <w:tblCellMar>
            <w:top w:w="0" w:type="dxa"/>
            <w:left w:w="108" w:type="dxa"/>
            <w:bottom w:w="0" w:type="dxa"/>
            <w:right w:w="108" w:type="dxa"/>
          </w:tblCellMar>
        </w:tblPrEx>
        <w:trPr>
          <w:trHeight w:val="38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ECD408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7069222">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D95FF4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0.01</w:t>
            </w:r>
          </w:p>
        </w:tc>
        <w:tc>
          <w:tcPr>
            <w:tcW w:w="1134" w:type="dxa"/>
            <w:tcBorders>
              <w:top w:val="nil"/>
              <w:left w:val="nil"/>
              <w:bottom w:val="single" w:color="auto" w:sz="4" w:space="0"/>
              <w:right w:val="single" w:color="auto" w:sz="4" w:space="0"/>
            </w:tcBorders>
            <w:noWrap w:val="0"/>
            <w:vAlign w:val="center"/>
          </w:tcPr>
          <w:p w14:paraId="406DD83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0.01</w:t>
            </w:r>
          </w:p>
        </w:tc>
        <w:tc>
          <w:tcPr>
            <w:tcW w:w="1134" w:type="dxa"/>
            <w:tcBorders>
              <w:top w:val="nil"/>
              <w:left w:val="nil"/>
              <w:bottom w:val="single" w:color="auto" w:sz="4" w:space="0"/>
              <w:right w:val="single" w:color="auto" w:sz="4" w:space="0"/>
            </w:tcBorders>
            <w:noWrap w:val="0"/>
            <w:vAlign w:val="center"/>
          </w:tcPr>
          <w:p w14:paraId="095DDD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0.01</w:t>
            </w:r>
          </w:p>
        </w:tc>
        <w:tc>
          <w:tcPr>
            <w:tcW w:w="828" w:type="dxa"/>
            <w:tcBorders>
              <w:top w:val="nil"/>
              <w:left w:val="nil"/>
              <w:bottom w:val="single" w:color="auto" w:sz="4" w:space="0"/>
              <w:right w:val="single" w:color="auto" w:sz="4" w:space="0"/>
            </w:tcBorders>
            <w:noWrap w:val="0"/>
            <w:vAlign w:val="center"/>
          </w:tcPr>
          <w:p w14:paraId="4B24745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076BCC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60094A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F3CF2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50CF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0ECB377">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268674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6E3D9F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616067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37BA19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27DFDC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77E05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8209BA">
        <w:tblPrEx>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FBAF1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D53561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B0426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5C6A942">
        <w:tblPrEx>
          <w:tblCellMar>
            <w:top w:w="0" w:type="dxa"/>
            <w:left w:w="108" w:type="dxa"/>
            <w:bottom w:w="0" w:type="dxa"/>
            <w:right w:w="108" w:type="dxa"/>
          </w:tblCellMar>
        </w:tblPrEx>
        <w:trPr>
          <w:trHeight w:val="143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BD777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E7CA04C">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行政许可和行政处罚完全依法依规，以罚代管、以罚代收现象销声匿迹，实现真正的管罚分离。　　</w:t>
            </w:r>
          </w:p>
        </w:tc>
        <w:tc>
          <w:tcPr>
            <w:tcW w:w="4253" w:type="dxa"/>
            <w:gridSpan w:val="4"/>
            <w:tcBorders>
              <w:top w:val="single" w:color="auto" w:sz="4" w:space="0"/>
              <w:left w:val="nil"/>
              <w:bottom w:val="single" w:color="auto" w:sz="4" w:space="0"/>
              <w:right w:val="single" w:color="auto" w:sz="4" w:space="0"/>
            </w:tcBorders>
            <w:noWrap w:val="0"/>
            <w:vAlign w:val="center"/>
          </w:tcPr>
          <w:p w14:paraId="63B3B96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行政许可和行政处罚</w:t>
            </w:r>
            <w:r>
              <w:rPr>
                <w:rFonts w:hint="eastAsia" w:ascii="仿宋_GB2312" w:hAnsi="仿宋_GB2312" w:eastAsia="仿宋_GB2312" w:cs="仿宋_GB2312"/>
                <w:color w:val="000000"/>
                <w:sz w:val="20"/>
                <w:szCs w:val="20"/>
                <w:highlight w:val="none"/>
                <w:lang w:eastAsia="zh-CN"/>
              </w:rPr>
              <w:t>案件均</w:t>
            </w:r>
            <w:r>
              <w:rPr>
                <w:rFonts w:hint="eastAsia" w:ascii="仿宋_GB2312" w:hAnsi="仿宋_GB2312" w:eastAsia="仿宋_GB2312" w:cs="仿宋_GB2312"/>
                <w:color w:val="000000"/>
                <w:sz w:val="20"/>
                <w:szCs w:val="20"/>
                <w:highlight w:val="none"/>
              </w:rPr>
              <w:t>依法依规，以罚代管、以罚代收现象销声匿迹，实现真正的管罚分离</w:t>
            </w:r>
            <w:r>
              <w:rPr>
                <w:rFonts w:hint="eastAsia" w:ascii="仿宋_GB2312" w:hAnsi="仿宋_GB2312" w:eastAsia="仿宋_GB2312" w:cs="仿宋_GB2312"/>
                <w:color w:val="000000"/>
                <w:sz w:val="20"/>
                <w:szCs w:val="20"/>
                <w:highlight w:val="none"/>
                <w:lang w:eastAsia="zh-CN"/>
              </w:rPr>
              <w:t>，达到了处理一案，解决一类的良好效果</w:t>
            </w:r>
            <w:r>
              <w:rPr>
                <w:rFonts w:hint="eastAsia" w:ascii="仿宋_GB2312" w:hAnsi="仿宋_GB2312" w:eastAsia="仿宋_GB2312" w:cs="仿宋_GB2312"/>
                <w:color w:val="000000"/>
                <w:sz w:val="20"/>
                <w:szCs w:val="20"/>
                <w:highlight w:val="none"/>
              </w:rPr>
              <w:t>。</w:t>
            </w:r>
          </w:p>
        </w:tc>
      </w:tr>
      <w:tr w14:paraId="7A21DC8F">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BB895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5B67A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7681E8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16A194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3E96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92E4C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70B21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3BF2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D10C7B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3B60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2A7081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0F3E9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20EB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F8691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1BB6B23">
        <w:tblPrEx>
          <w:tblCellMar>
            <w:top w:w="0" w:type="dxa"/>
            <w:left w:w="108" w:type="dxa"/>
            <w:bottom w:w="0" w:type="dxa"/>
            <w:right w:w="108" w:type="dxa"/>
          </w:tblCellMar>
        </w:tblPrEx>
        <w:trPr>
          <w:trHeight w:val="63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4A009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62602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0A90F0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14:paraId="69D31FD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48466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CE97BC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宣讲政策法律法规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666A7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1C59B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22C03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3C66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98788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B2CD01">
        <w:tblPrEx>
          <w:tblCellMar>
            <w:top w:w="0" w:type="dxa"/>
            <w:left w:w="108" w:type="dxa"/>
            <w:bottom w:w="0" w:type="dxa"/>
            <w:right w:w="108" w:type="dxa"/>
          </w:tblCellMar>
        </w:tblPrEx>
        <w:trPr>
          <w:trHeight w:val="58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59FEBA">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56FE0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FAF89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93204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召开办案专业案审会议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1D18B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1次/月</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C2E32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1次/月</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E740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3A61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81C2D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14:paraId="3B8A8DD7">
        <w:tblPrEx>
          <w:tblCellMar>
            <w:top w:w="0" w:type="dxa"/>
            <w:left w:w="108" w:type="dxa"/>
            <w:bottom w:w="0" w:type="dxa"/>
            <w:right w:w="108" w:type="dxa"/>
          </w:tblCellMar>
        </w:tblPrEx>
        <w:trPr>
          <w:trHeight w:val="58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D23DBC">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5934B9">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CDA1A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2549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发放印刷宣传资料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2BD37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10000</w:t>
            </w:r>
            <w:r>
              <w:rPr>
                <w:rFonts w:hint="eastAsia" w:ascii="仿宋_GB2312" w:hAnsi="仿宋_GB2312" w:eastAsia="仿宋_GB2312" w:cs="仿宋_GB2312"/>
                <w:color w:val="000000"/>
                <w:sz w:val="20"/>
                <w:szCs w:val="20"/>
                <w:highlight w:val="none"/>
                <w:lang w:eastAsia="zh-CN"/>
              </w:rPr>
              <w:t>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F1AA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12000余份</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A8245E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C930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45F71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14:paraId="3E13A9F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5E665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4C997B">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C22C4B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360A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案件处置质量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07D6F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减少执法纠纷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BD98B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无执法纠纷</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E11C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5154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64EC4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C3D8F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965471">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505390">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0C29A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67DC2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舆情管理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7D3C4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无负面舆情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4877F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全年无负面舆情</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BCC1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44716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0599D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3EA81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43D00F">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E48D16">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AB681A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EFE59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w:t>
            </w:r>
            <w:r>
              <w:rPr>
                <w:rFonts w:hint="eastAsia" w:ascii="仿宋_GB2312" w:hAnsi="仿宋_GB2312" w:eastAsia="仿宋_GB2312" w:cs="仿宋_GB2312"/>
                <w:color w:val="000000"/>
                <w:sz w:val="20"/>
                <w:szCs w:val="20"/>
                <w:highlight w:val="none"/>
                <w:lang w:val="en-US" w:eastAsia="zh-CN"/>
              </w:rPr>
              <w:t>年度计划实施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8D22B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在</w:t>
            </w:r>
            <w:r>
              <w:rPr>
                <w:rFonts w:hint="eastAsia" w:ascii="仿宋_GB2312" w:hAnsi="仿宋_GB2312" w:eastAsia="仿宋_GB2312" w:cs="仿宋_GB2312"/>
                <w:color w:val="000000"/>
                <w:sz w:val="20"/>
                <w:szCs w:val="20"/>
                <w:highlight w:val="none"/>
                <w:lang w:val="en-US" w:eastAsia="zh-CN"/>
              </w:rPr>
              <w:t>2024年12月31日前完成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8B91F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CABD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8D061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2C516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DF9FB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9350BF">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A52F53">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F2221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085AA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案件办理时间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2CF4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在规定时间内办结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E7BC5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均在规定时间内办结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5519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6B55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A27B0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D4C32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97AB6C">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CB928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6031BA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F7482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办案实施成本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4477C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预算金额之内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CB80A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29235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609B46A">
            <w:pPr>
              <w:keepNext w:val="0"/>
              <w:keepLines w:val="0"/>
              <w:pageBreakBefore w:val="0"/>
              <w:widowControl/>
              <w:kinsoku/>
              <w:wordWrap/>
              <w:overflowPunct/>
              <w:topLinePunct w:val="0"/>
              <w:autoSpaceDE/>
              <w:autoSpaceDN/>
              <w:bidi w:val="0"/>
              <w:adjustRightInd/>
              <w:snapToGrid/>
              <w:spacing w:line="340" w:lineRule="exact"/>
              <w:ind w:firstLine="200" w:firstLineChars="1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F4B91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E1D64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9E1C89">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F6B372">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87375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A9F1B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是否对社会环境造成负面影响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14A77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CA7DB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C01B7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2A79D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2868B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1710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ACC73B">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89933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FA6E5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0D4E0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945BE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F81F5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7F70B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DB4B7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15CE5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6343C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62BC97">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B5C130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C580B1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14:paraId="2D96FEA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64D14D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148F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E7EEBC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CE897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增加财政非税收入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E46F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年度预算计划数</w:t>
            </w:r>
            <w:r>
              <w:rPr>
                <w:rFonts w:hint="eastAsia" w:ascii="仿宋_GB2312" w:hAnsi="仿宋_GB2312" w:eastAsia="仿宋_GB2312" w:cs="仿宋_GB2312"/>
                <w:color w:val="000000"/>
                <w:sz w:val="20"/>
                <w:szCs w:val="20"/>
                <w:highlight w:val="none"/>
                <w:lang w:val="en-US" w:eastAsia="zh-CN"/>
              </w:rPr>
              <w:t>25万元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7EAC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11.32</w:t>
            </w:r>
            <w:r>
              <w:rPr>
                <w:rFonts w:hint="eastAsia" w:ascii="仿宋_GB2312" w:hAnsi="仿宋_GB2312" w:eastAsia="仿宋_GB2312" w:cs="仿宋_GB2312"/>
                <w:color w:val="auto"/>
                <w:sz w:val="20"/>
                <w:szCs w:val="20"/>
                <w:highlight w:val="none"/>
                <w:lang w:val="en" w:eastAsia="zh-CN"/>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FE3360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E4CC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F78F4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随着宣传与管理力度的加大，非法营运现象大幅减少。下一步合理预计来年情况，调整非税收计划金额。</w:t>
            </w:r>
          </w:p>
        </w:tc>
      </w:tr>
      <w:tr w14:paraId="35C83BA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750CE8E">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F9E589">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CEBE3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0C28B2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3C4A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秩序管理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B1A32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E7C2D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有效改善了</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4BCD04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E9F3B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E4D39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118AD1">
        <w:tblPrEx>
          <w:tblCellMar>
            <w:top w:w="0" w:type="dxa"/>
            <w:left w:w="108" w:type="dxa"/>
            <w:bottom w:w="0" w:type="dxa"/>
            <w:right w:w="108" w:type="dxa"/>
          </w:tblCellMar>
        </w:tblPrEx>
        <w:trPr>
          <w:trHeight w:val="84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83E0F8">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844188">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9D464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08965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EA11A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有效改善两站地区出行环境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53B6B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34B1C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16A16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4E956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98FF9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3B7F92">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44CDF2">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160EC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C1FB5C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E101BE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是否对改善生态环境起到积极作用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D7E7D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DE602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77EC47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435F3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74376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A2DB1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C1A5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8C64F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3B1E2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110F6D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规范站场管理，提升城市形象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333E5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48CB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D1D61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80A76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44D9A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0CC50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D2DFB3">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C61C85">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319027">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C6498B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两站地区安全管理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2B97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34881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全年无安全事故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B5858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EDF44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A12B8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850F0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64A5DA">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16B9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83035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19051D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F1CB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007BA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FA97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96%以上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483B9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EDE065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E27B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D1878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FD6386">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2DE28F7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F670A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995F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B171B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5DC4966">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14:paraId="15C044E6">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14:paraId="4719F11A">
      <w:pPr>
        <w:pStyle w:val="3"/>
        <w:rPr>
          <w:rFonts w:hint="default" w:ascii="Times New Roman" w:hAnsi="Times New Roman" w:eastAsia="仿宋_GB2312" w:cs="Times New Roman"/>
          <w:sz w:val="22"/>
          <w:szCs w:val="22"/>
          <w:highlight w:val="none"/>
        </w:rPr>
      </w:pPr>
    </w:p>
    <w:p w14:paraId="7E97A7BB">
      <w:pPr>
        <w:rPr>
          <w:rFonts w:hint="default"/>
        </w:rPr>
      </w:pPr>
    </w:p>
    <w:p w14:paraId="397702C8">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1-4</w:t>
      </w:r>
    </w:p>
    <w:p w14:paraId="6383031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14:paraId="41C6370B">
      <w:pPr>
        <w:pStyle w:val="2"/>
        <w:rPr>
          <w:rFonts w:hint="eastAsia"/>
        </w:rPr>
      </w:pP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77D106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96C34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FB5EA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E90E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城市广场运营维护费</w:t>
            </w:r>
            <w:r>
              <w:rPr>
                <w:rFonts w:hint="eastAsia" w:ascii="仿宋_GB2312" w:hAnsi="仿宋_GB2312" w:eastAsia="仿宋_GB2312" w:cs="仿宋_GB2312"/>
                <w:color w:val="000000"/>
                <w:sz w:val="20"/>
                <w:szCs w:val="20"/>
                <w:highlight w:val="none"/>
              </w:rPr>
              <w:t>　</w:t>
            </w:r>
          </w:p>
        </w:tc>
      </w:tr>
      <w:tr w14:paraId="165C018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6E0BE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5A4E2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w:t>
            </w:r>
          </w:p>
        </w:tc>
        <w:tc>
          <w:tcPr>
            <w:tcW w:w="1134" w:type="dxa"/>
            <w:tcBorders>
              <w:top w:val="single" w:color="auto" w:sz="4" w:space="0"/>
              <w:left w:val="nil"/>
              <w:bottom w:val="single" w:color="auto" w:sz="4" w:space="0"/>
              <w:right w:val="single" w:color="000000" w:sz="4" w:space="0"/>
            </w:tcBorders>
            <w:noWrap w:val="0"/>
            <w:vAlign w:val="center"/>
          </w:tcPr>
          <w:p w14:paraId="7490AA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4A8AB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CESI仿宋-GB2312" w:hAnsi="CESI仿宋-GB2312" w:eastAsia="CESI仿宋-GB2312" w:cs="CESI仿宋-GB2312"/>
                <w:sz w:val="20"/>
                <w:szCs w:val="20"/>
              </w:rPr>
              <w:t>岳阳市城市管理综合行政执法支队站场执法大队</w:t>
            </w:r>
          </w:p>
        </w:tc>
      </w:tr>
      <w:tr w14:paraId="3768CFD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E7E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EE5DC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2B674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B0B65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C7E55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77AA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65AC2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261E1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34F2F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59BB0E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5F29D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677D69F">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FCFB6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724B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EEEEB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14:paraId="0BB7A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14:paraId="38D9F9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66.50</w:t>
            </w:r>
          </w:p>
        </w:tc>
        <w:tc>
          <w:tcPr>
            <w:tcW w:w="828" w:type="dxa"/>
            <w:tcBorders>
              <w:top w:val="nil"/>
              <w:left w:val="nil"/>
              <w:bottom w:val="single" w:color="auto" w:sz="4" w:space="0"/>
              <w:right w:val="single" w:color="auto" w:sz="4" w:space="0"/>
            </w:tcBorders>
            <w:noWrap w:val="0"/>
            <w:vAlign w:val="center"/>
          </w:tcPr>
          <w:p w14:paraId="75F1FD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95857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418" w:type="dxa"/>
            <w:tcBorders>
              <w:top w:val="nil"/>
              <w:left w:val="nil"/>
              <w:bottom w:val="single" w:color="auto" w:sz="4" w:space="0"/>
              <w:right w:val="single" w:color="auto" w:sz="4" w:space="0"/>
            </w:tcBorders>
            <w:noWrap w:val="0"/>
            <w:vAlign w:val="center"/>
          </w:tcPr>
          <w:p w14:paraId="3B2A1B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9.5</w:t>
            </w:r>
          </w:p>
        </w:tc>
      </w:tr>
      <w:tr w14:paraId="5CA59821">
        <w:tblPrEx>
          <w:tblCellMar>
            <w:top w:w="0" w:type="dxa"/>
            <w:left w:w="108" w:type="dxa"/>
            <w:bottom w:w="0" w:type="dxa"/>
            <w:right w:w="108" w:type="dxa"/>
          </w:tblCellMar>
        </w:tblPrEx>
        <w:trPr>
          <w:trHeight w:val="45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23B8E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55824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7441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14:paraId="76CAB0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70.00</w:t>
            </w:r>
          </w:p>
        </w:tc>
        <w:tc>
          <w:tcPr>
            <w:tcW w:w="1134" w:type="dxa"/>
            <w:tcBorders>
              <w:top w:val="nil"/>
              <w:left w:val="nil"/>
              <w:bottom w:val="single" w:color="auto" w:sz="4" w:space="0"/>
              <w:right w:val="single" w:color="auto" w:sz="4" w:space="0"/>
            </w:tcBorders>
            <w:noWrap w:val="0"/>
            <w:vAlign w:val="center"/>
          </w:tcPr>
          <w:p w14:paraId="49FABE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66.50</w:t>
            </w:r>
          </w:p>
        </w:tc>
        <w:tc>
          <w:tcPr>
            <w:tcW w:w="828" w:type="dxa"/>
            <w:tcBorders>
              <w:top w:val="nil"/>
              <w:left w:val="nil"/>
              <w:bottom w:val="single" w:color="auto" w:sz="4" w:space="0"/>
              <w:right w:val="single" w:color="auto" w:sz="4" w:space="0"/>
            </w:tcBorders>
            <w:noWrap w:val="0"/>
            <w:vAlign w:val="center"/>
          </w:tcPr>
          <w:p w14:paraId="4D79E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2C290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70506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A29FB3">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1A870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333CB7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49C56D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734F6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BD161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77EE2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7A819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2036E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28060E">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6D879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AC0ECD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FEA65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592A7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64F73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47584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F8B31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148CC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1438B1">
        <w:tblPrEx>
          <w:tblCellMar>
            <w:top w:w="0" w:type="dxa"/>
            <w:left w:w="108" w:type="dxa"/>
            <w:bottom w:w="0" w:type="dxa"/>
            <w:right w:w="108" w:type="dxa"/>
          </w:tblCellMar>
        </w:tblPrEx>
        <w:trPr>
          <w:trHeight w:val="46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6F26F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B52A3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BC92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ABE8297">
        <w:tblPrEx>
          <w:tblCellMar>
            <w:top w:w="0" w:type="dxa"/>
            <w:left w:w="108" w:type="dxa"/>
            <w:bottom w:w="0" w:type="dxa"/>
            <w:right w:w="108" w:type="dxa"/>
          </w:tblCellMar>
        </w:tblPrEx>
        <w:trPr>
          <w:trHeight w:val="99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5F1B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F4895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c>
          <w:tcPr>
            <w:tcW w:w="4253" w:type="dxa"/>
            <w:gridSpan w:val="4"/>
            <w:tcBorders>
              <w:top w:val="single" w:color="auto" w:sz="4" w:space="0"/>
              <w:left w:val="nil"/>
              <w:bottom w:val="single" w:color="auto" w:sz="4" w:space="0"/>
              <w:right w:val="single" w:color="auto" w:sz="4" w:space="0"/>
            </w:tcBorders>
            <w:noWrap w:val="0"/>
            <w:vAlign w:val="center"/>
          </w:tcPr>
          <w:p w14:paraId="68B02FD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障了</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r>
      <w:tr w14:paraId="2D6EABA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52BA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C49A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B67A8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BB44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338E17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110AE4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F0E01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3F0DC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DF53E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91AA1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0D53E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33806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D102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2C453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2433D3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1DB4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34A0A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8C075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4F0C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5361F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307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拖车停车数量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1F3B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200台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C8EC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300余台次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C3B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547D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2E04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97767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5B13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3ABF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504D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152C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水电费</w:t>
            </w:r>
            <w:r>
              <w:rPr>
                <w:rFonts w:hint="eastAsia" w:ascii="仿宋_GB2312" w:hAnsi="仿宋_GB2312" w:eastAsia="仿宋_GB2312" w:cs="仿宋_GB2312"/>
                <w:color w:val="000000"/>
                <w:sz w:val="20"/>
                <w:szCs w:val="20"/>
                <w:highlight w:val="none"/>
                <w:lang w:eastAsia="zh-CN"/>
              </w:rPr>
              <w:t>支付</w:t>
            </w:r>
            <w:r>
              <w:rPr>
                <w:rFonts w:hint="eastAsia" w:ascii="仿宋_GB2312" w:hAnsi="仿宋_GB2312" w:eastAsia="仿宋_GB2312" w:cs="仿宋_GB2312"/>
                <w:color w:val="000000"/>
                <w:sz w:val="20"/>
                <w:szCs w:val="20"/>
                <w:highlight w:val="none"/>
              </w:rPr>
              <w:t>及</w:t>
            </w:r>
            <w:r>
              <w:rPr>
                <w:rFonts w:hint="eastAsia" w:ascii="仿宋_GB2312" w:hAnsi="仿宋_GB2312" w:eastAsia="仿宋_GB2312" w:cs="仿宋_GB2312"/>
                <w:color w:val="000000"/>
                <w:sz w:val="20"/>
                <w:szCs w:val="20"/>
                <w:highlight w:val="none"/>
                <w:lang w:eastAsia="zh-CN"/>
              </w:rPr>
              <w:t>设施</w:t>
            </w:r>
            <w:r>
              <w:rPr>
                <w:rFonts w:hint="eastAsia" w:ascii="仿宋_GB2312" w:hAnsi="仿宋_GB2312" w:eastAsia="仿宋_GB2312" w:cs="仿宋_GB2312"/>
                <w:color w:val="000000"/>
                <w:sz w:val="20"/>
                <w:szCs w:val="20"/>
                <w:highlight w:val="none"/>
              </w:rPr>
              <w:t>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A32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283C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921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D0FCA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D76C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F31449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0B00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8894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12BD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FA9F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电瓶巡逻车维护</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7F84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CBB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97A33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5327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DD74F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20"/>
                <w:szCs w:val="20"/>
                <w:highlight w:val="none"/>
              </w:rPr>
              <w:t>　</w:t>
            </w:r>
          </w:p>
        </w:tc>
      </w:tr>
      <w:tr w14:paraId="69236F38">
        <w:tblPrEx>
          <w:tblCellMar>
            <w:top w:w="0" w:type="dxa"/>
            <w:left w:w="108" w:type="dxa"/>
            <w:bottom w:w="0" w:type="dxa"/>
            <w:right w:w="108" w:type="dxa"/>
          </w:tblCellMar>
        </w:tblPrEx>
        <w:trPr>
          <w:trHeight w:val="607" w:hRule="atLeast"/>
          <w:jc w:val="center"/>
        </w:trPr>
        <w:tc>
          <w:tcPr>
            <w:tcW w:w="1080" w:type="dxa"/>
            <w:vMerge w:val="continue"/>
            <w:tcBorders>
              <w:left w:val="single" w:color="auto" w:sz="4" w:space="0"/>
              <w:right w:val="single" w:color="auto" w:sz="4" w:space="0"/>
            </w:tcBorders>
            <w:noWrap w:val="0"/>
            <w:vAlign w:val="center"/>
          </w:tcPr>
          <w:p w14:paraId="264C4A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D641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E21EF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BE218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安全性能好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DE4C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AE0F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均符合相关标准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52FC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0362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B895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8A6027">
        <w:tblPrEx>
          <w:tblCellMar>
            <w:top w:w="0" w:type="dxa"/>
            <w:left w:w="108" w:type="dxa"/>
            <w:bottom w:w="0" w:type="dxa"/>
            <w:right w:w="108" w:type="dxa"/>
          </w:tblCellMar>
        </w:tblPrEx>
        <w:trPr>
          <w:trHeight w:val="650" w:hRule="atLeast"/>
          <w:jc w:val="center"/>
        </w:trPr>
        <w:tc>
          <w:tcPr>
            <w:tcW w:w="1080" w:type="dxa"/>
            <w:vMerge w:val="continue"/>
            <w:tcBorders>
              <w:left w:val="single" w:color="auto" w:sz="4" w:space="0"/>
              <w:right w:val="single" w:color="auto" w:sz="4" w:space="0"/>
            </w:tcBorders>
            <w:noWrap w:val="0"/>
            <w:vAlign w:val="center"/>
          </w:tcPr>
          <w:p w14:paraId="39644F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8B01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FB24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3275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eastAsia="zh-CN"/>
              </w:rPr>
              <w:t>设备完好率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31E9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6CB4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85AB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EAD4A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D60B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410861">
        <w:tblPrEx>
          <w:tblCellMar>
            <w:top w:w="0" w:type="dxa"/>
            <w:left w:w="108" w:type="dxa"/>
            <w:bottom w:w="0" w:type="dxa"/>
            <w:right w:w="108" w:type="dxa"/>
          </w:tblCellMar>
        </w:tblPrEx>
        <w:trPr>
          <w:trHeight w:val="726" w:hRule="atLeast"/>
          <w:jc w:val="center"/>
        </w:trPr>
        <w:tc>
          <w:tcPr>
            <w:tcW w:w="1080" w:type="dxa"/>
            <w:vMerge w:val="continue"/>
            <w:tcBorders>
              <w:left w:val="single" w:color="auto" w:sz="4" w:space="0"/>
              <w:right w:val="single" w:color="auto" w:sz="4" w:space="0"/>
            </w:tcBorders>
            <w:noWrap w:val="0"/>
            <w:vAlign w:val="center"/>
          </w:tcPr>
          <w:p w14:paraId="08097C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EE09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51CF7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DC76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两站广场</w:t>
            </w:r>
            <w:r>
              <w:rPr>
                <w:rFonts w:hint="eastAsia" w:ascii="仿宋_GB2312" w:hAnsi="仿宋_GB2312" w:eastAsia="仿宋_GB2312" w:cs="仿宋_GB2312"/>
                <w:color w:val="000000"/>
                <w:sz w:val="20"/>
                <w:szCs w:val="20"/>
                <w:highlight w:val="none"/>
              </w:rPr>
              <w:t>设施维护工作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8D7D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ACB1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E7C2E0D">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17A3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CD1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C495B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8B179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953D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ECCEB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7BB1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设施设备维护及时率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68C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6003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1CA7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D804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D0C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69FC2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C268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58CA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4065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632E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维护运行成本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D735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w:t>
            </w:r>
            <w:r>
              <w:rPr>
                <w:rFonts w:hint="eastAsia" w:ascii="仿宋_GB2312" w:hAnsi="仿宋_GB2312" w:eastAsia="仿宋_GB2312" w:cs="仿宋_GB2312"/>
                <w:color w:val="000000"/>
                <w:sz w:val="20"/>
                <w:szCs w:val="20"/>
                <w:highlight w:val="none"/>
                <w:lang w:eastAsia="zh-CN"/>
              </w:rPr>
              <w:t>金额</w:t>
            </w:r>
            <w:r>
              <w:rPr>
                <w:rFonts w:hint="eastAsia" w:ascii="仿宋_GB2312" w:hAnsi="仿宋_GB2312" w:eastAsia="仿宋_GB2312" w:cs="仿宋_GB2312"/>
                <w:color w:val="000000"/>
                <w:sz w:val="20"/>
                <w:szCs w:val="20"/>
                <w:highlight w:val="none"/>
                <w:lang w:val="en-US" w:eastAsia="zh-CN"/>
              </w:rPr>
              <w:t>之</w:t>
            </w:r>
            <w:r>
              <w:rPr>
                <w:rFonts w:hint="eastAsia" w:ascii="仿宋_GB2312" w:hAnsi="仿宋_GB2312" w:eastAsia="仿宋_GB2312" w:cs="仿宋_GB2312"/>
                <w:color w:val="000000"/>
                <w:sz w:val="20"/>
                <w:szCs w:val="20"/>
                <w:highlight w:val="none"/>
              </w:rPr>
              <w:t>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B46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E79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10186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8622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23A2E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F083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10A9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A8E4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F3481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407C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B87B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D102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4080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AD60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20622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08EF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E32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F635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6658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2DEA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4C1F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9C5D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2D6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8F83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5A212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55A6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9C19A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52E79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091EE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50CF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2D5C4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3620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EB7A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A322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67EA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优化窗口环境，助力招商引资。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9BDC4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A26E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BC9B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16AC6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C6616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72B2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F169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B560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D097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9EC1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优化窗口环境，助力岳阳旅游业发展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9A91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3676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84DF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E31D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E4CA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0B9E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990A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CEB83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26BA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保证火车站广场和火车东站广场设施的正常运转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F42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0884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D6A74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F314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2B8A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87E3A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77AFD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053BBC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6A6BC3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DF971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315BA2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维护广场绿植</w:t>
            </w:r>
          </w:p>
        </w:tc>
        <w:tc>
          <w:tcPr>
            <w:tcW w:w="1134" w:type="dxa"/>
            <w:tcBorders>
              <w:top w:val="single" w:color="auto" w:sz="4" w:space="0"/>
              <w:left w:val="nil"/>
              <w:bottom w:val="single" w:color="auto" w:sz="4" w:space="0"/>
              <w:right w:val="single" w:color="auto" w:sz="4" w:space="0"/>
            </w:tcBorders>
            <w:noWrap w:val="0"/>
            <w:vAlign w:val="center"/>
          </w:tcPr>
          <w:p w14:paraId="0A8D3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维护广场绿植，美化广场环境</w:t>
            </w:r>
          </w:p>
        </w:tc>
        <w:tc>
          <w:tcPr>
            <w:tcW w:w="1134" w:type="dxa"/>
            <w:tcBorders>
              <w:top w:val="single" w:color="auto" w:sz="4" w:space="0"/>
              <w:left w:val="nil"/>
              <w:bottom w:val="single" w:color="auto" w:sz="4" w:space="0"/>
              <w:right w:val="single" w:color="auto" w:sz="4" w:space="0"/>
            </w:tcBorders>
            <w:noWrap w:val="0"/>
            <w:vAlign w:val="center"/>
          </w:tcPr>
          <w:p w14:paraId="1D2469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两站广场绿化效果良好</w:t>
            </w:r>
          </w:p>
        </w:tc>
        <w:tc>
          <w:tcPr>
            <w:tcW w:w="828" w:type="dxa"/>
            <w:tcBorders>
              <w:top w:val="single" w:color="auto" w:sz="4" w:space="0"/>
              <w:left w:val="nil"/>
              <w:bottom w:val="single" w:color="auto" w:sz="4" w:space="0"/>
              <w:right w:val="single" w:color="auto" w:sz="4" w:space="0"/>
            </w:tcBorders>
            <w:noWrap w:val="0"/>
            <w:vAlign w:val="center"/>
          </w:tcPr>
          <w:p w14:paraId="192D9E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19B100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52A870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28226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71EA7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2CCCB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EDAC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97163F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改善市民出行环境，提升城市整体形象。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922C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DA03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C9CCF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3DEE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0303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还有待进一步优化，下一步加大维护力度，进一步改善环境。</w:t>
            </w:r>
          </w:p>
        </w:tc>
      </w:tr>
      <w:tr w14:paraId="7FD5780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4569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1326BC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DE9DF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75D9B8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14:paraId="7E1261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14:paraId="1AE206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保证了两站广场设施正常运行</w:t>
            </w:r>
          </w:p>
        </w:tc>
        <w:tc>
          <w:tcPr>
            <w:tcW w:w="828" w:type="dxa"/>
            <w:tcBorders>
              <w:top w:val="single" w:color="auto" w:sz="4" w:space="0"/>
              <w:left w:val="nil"/>
              <w:bottom w:val="single" w:color="auto" w:sz="4" w:space="0"/>
              <w:right w:val="single" w:color="auto" w:sz="4" w:space="0"/>
            </w:tcBorders>
            <w:noWrap w:val="0"/>
            <w:vAlign w:val="center"/>
          </w:tcPr>
          <w:p w14:paraId="719D04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4DF11D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2DF3D4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3F628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4825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37BA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399A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289A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49085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05B685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群众满意率</w:t>
            </w:r>
          </w:p>
        </w:tc>
        <w:tc>
          <w:tcPr>
            <w:tcW w:w="1134" w:type="dxa"/>
            <w:tcBorders>
              <w:top w:val="nil"/>
              <w:left w:val="nil"/>
              <w:bottom w:val="single" w:color="auto" w:sz="4" w:space="0"/>
              <w:right w:val="single" w:color="auto" w:sz="4" w:space="0"/>
            </w:tcBorders>
            <w:noWrap w:val="0"/>
            <w:vAlign w:val="center"/>
          </w:tcPr>
          <w:p w14:paraId="44483E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nil"/>
              <w:left w:val="nil"/>
              <w:bottom w:val="single" w:color="auto" w:sz="4" w:space="0"/>
              <w:right w:val="single" w:color="auto" w:sz="4" w:space="0"/>
            </w:tcBorders>
            <w:noWrap w:val="0"/>
            <w:vAlign w:val="center"/>
          </w:tcPr>
          <w:p w14:paraId="5D791C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14:paraId="7EA68E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1E6FB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79B90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4F7B03">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0B765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441F2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2490C7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1418" w:type="dxa"/>
            <w:tcBorders>
              <w:top w:val="nil"/>
              <w:left w:val="nil"/>
              <w:bottom w:val="single" w:color="auto" w:sz="4" w:space="0"/>
              <w:right w:val="single" w:color="auto" w:sz="4" w:space="0"/>
            </w:tcBorders>
            <w:noWrap w:val="0"/>
            <w:vAlign w:val="center"/>
          </w:tcPr>
          <w:p w14:paraId="3028B1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173371E">
      <w:pPr>
        <w:widowControl/>
        <w:spacing w:after="0" w:afterLines="0" w:line="400" w:lineRule="exact"/>
        <w:jc w:val="left"/>
        <w:rPr>
          <w:rFonts w:hint="default" w:ascii="Times New Roman" w:hAnsi="Times New Roman" w:eastAsia="仿宋_GB2312" w:cs="Times New Roman"/>
          <w:sz w:val="22"/>
          <w:highlight w:val="none"/>
        </w:rPr>
      </w:pPr>
    </w:p>
    <w:p w14:paraId="56A98991">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2025.6.20</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2"/>
          <w:szCs w:val="22"/>
        </w:rPr>
        <w:t>8981953</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14:paraId="551FDCB8">
      <w:pPr>
        <w:pStyle w:val="2"/>
        <w:rPr>
          <w:rFonts w:hint="eastAsia" w:ascii="Times New Roman" w:hAnsi="Times New Roman" w:eastAsia="仿宋_GB2312" w:cs="Times New Roman"/>
          <w:sz w:val="22"/>
          <w:highlight w:val="none"/>
          <w:lang w:eastAsia="zh-CN"/>
        </w:rPr>
      </w:pPr>
    </w:p>
    <w:p w14:paraId="71F5A276">
      <w:pPr>
        <w:pStyle w:val="3"/>
        <w:rPr>
          <w:rFonts w:hint="eastAsia" w:ascii="Times New Roman" w:hAnsi="Times New Roman" w:eastAsia="仿宋_GB2312" w:cs="Times New Roman"/>
          <w:sz w:val="22"/>
          <w:highlight w:val="none"/>
          <w:lang w:eastAsia="zh-CN"/>
        </w:rPr>
      </w:pPr>
    </w:p>
    <w:p w14:paraId="53FC7B18">
      <w:pPr>
        <w:rPr>
          <w:rFonts w:hint="eastAsia" w:ascii="Times New Roman" w:hAnsi="Times New Roman" w:eastAsia="仿宋_GB2312" w:cs="Times New Roman"/>
          <w:sz w:val="22"/>
          <w:highlight w:val="none"/>
          <w:lang w:eastAsia="zh-CN"/>
        </w:rPr>
      </w:pPr>
    </w:p>
    <w:p w14:paraId="23D9AF82">
      <w:pPr>
        <w:pStyle w:val="2"/>
        <w:rPr>
          <w:rFonts w:hint="eastAsia" w:ascii="Times New Roman" w:hAnsi="Times New Roman" w:eastAsia="仿宋_GB2312" w:cs="Times New Roman"/>
          <w:sz w:val="22"/>
          <w:highlight w:val="none"/>
          <w:lang w:eastAsia="zh-CN"/>
        </w:rPr>
      </w:pPr>
    </w:p>
    <w:p w14:paraId="42AF4566">
      <w:pPr>
        <w:pStyle w:val="3"/>
        <w:rPr>
          <w:rFonts w:hint="eastAsia" w:ascii="Times New Roman" w:hAnsi="Times New Roman" w:eastAsia="仿宋_GB2312" w:cs="Times New Roman"/>
          <w:sz w:val="22"/>
          <w:highlight w:val="none"/>
          <w:lang w:eastAsia="zh-CN"/>
        </w:rPr>
      </w:pPr>
    </w:p>
    <w:p w14:paraId="087EFED7">
      <w:pPr>
        <w:rPr>
          <w:rFonts w:hint="eastAsia" w:ascii="Times New Roman" w:hAnsi="Times New Roman" w:eastAsia="仿宋_GB2312" w:cs="Times New Roman"/>
          <w:sz w:val="22"/>
          <w:highlight w:val="none"/>
          <w:lang w:eastAsia="zh-CN"/>
        </w:rPr>
      </w:pPr>
    </w:p>
    <w:p w14:paraId="413CE9F9">
      <w:pPr>
        <w:pStyle w:val="2"/>
        <w:rPr>
          <w:rFonts w:hint="eastAsia" w:ascii="Times New Roman" w:hAnsi="Times New Roman" w:eastAsia="仿宋_GB2312" w:cs="Times New Roman"/>
          <w:sz w:val="22"/>
          <w:highlight w:val="none"/>
          <w:lang w:eastAsia="zh-CN"/>
        </w:rPr>
      </w:pPr>
    </w:p>
    <w:p w14:paraId="3BBC126F">
      <w:pPr>
        <w:pStyle w:val="3"/>
        <w:rPr>
          <w:rFonts w:hint="eastAsia" w:ascii="Times New Roman" w:hAnsi="Times New Roman" w:eastAsia="仿宋_GB2312" w:cs="Times New Roman"/>
          <w:sz w:val="22"/>
          <w:highlight w:val="none"/>
          <w:lang w:eastAsia="zh-CN"/>
        </w:rPr>
      </w:pPr>
    </w:p>
    <w:p w14:paraId="61FE1B12">
      <w:pPr>
        <w:rPr>
          <w:rFonts w:hint="eastAsia" w:ascii="Times New Roman" w:hAnsi="Times New Roman" w:eastAsia="仿宋_GB2312" w:cs="Times New Roman"/>
          <w:sz w:val="22"/>
          <w:highlight w:val="none"/>
          <w:lang w:eastAsia="zh-CN"/>
        </w:rPr>
      </w:pPr>
    </w:p>
    <w:p w14:paraId="5831CC18">
      <w:pPr>
        <w:pStyle w:val="2"/>
        <w:rPr>
          <w:rFonts w:hint="eastAsia" w:ascii="Times New Roman" w:hAnsi="Times New Roman" w:eastAsia="仿宋_GB2312" w:cs="Times New Roman"/>
          <w:sz w:val="22"/>
          <w:highlight w:val="none"/>
          <w:lang w:eastAsia="zh-CN"/>
        </w:rPr>
      </w:pPr>
    </w:p>
    <w:p w14:paraId="0870AB7D">
      <w:pPr>
        <w:pStyle w:val="3"/>
        <w:rPr>
          <w:rFonts w:hint="eastAsia" w:ascii="Times New Roman" w:hAnsi="Times New Roman" w:eastAsia="仿宋_GB2312" w:cs="Times New Roman"/>
          <w:sz w:val="22"/>
          <w:highlight w:val="none"/>
          <w:lang w:eastAsia="zh-CN"/>
        </w:rPr>
      </w:pPr>
    </w:p>
    <w:p w14:paraId="0E2C5129">
      <w:pPr>
        <w:rPr>
          <w:rFonts w:hint="eastAsia" w:ascii="Times New Roman" w:hAnsi="Times New Roman" w:eastAsia="仿宋_GB2312" w:cs="Times New Roman"/>
          <w:sz w:val="22"/>
          <w:highlight w:val="none"/>
          <w:lang w:eastAsia="zh-CN"/>
        </w:rPr>
      </w:pPr>
    </w:p>
    <w:p w14:paraId="3166ED56">
      <w:pPr>
        <w:pStyle w:val="2"/>
        <w:rPr>
          <w:rFonts w:hint="eastAsia" w:ascii="Times New Roman" w:hAnsi="Times New Roman" w:eastAsia="仿宋_GB2312" w:cs="Times New Roman"/>
          <w:sz w:val="22"/>
          <w:highlight w:val="none"/>
          <w:lang w:eastAsia="zh-CN"/>
        </w:rPr>
      </w:pPr>
    </w:p>
    <w:p w14:paraId="6DF185C1">
      <w:pPr>
        <w:pStyle w:val="3"/>
        <w:rPr>
          <w:rFonts w:hint="eastAsia" w:ascii="Times New Roman" w:hAnsi="Times New Roman" w:eastAsia="仿宋_GB2312" w:cs="Times New Roman"/>
          <w:sz w:val="22"/>
          <w:highlight w:val="none"/>
          <w:lang w:eastAsia="zh-CN"/>
        </w:rPr>
      </w:pPr>
    </w:p>
    <w:p w14:paraId="55569F5B">
      <w:pPr>
        <w:jc w:val="both"/>
        <w:rPr>
          <w:rFonts w:hint="eastAsia" w:ascii="方正小标宋简体" w:hAnsi="方正小标宋简体" w:eastAsia="方正小标宋简体" w:cs="方正小标宋简体"/>
          <w:b w:val="0"/>
          <w:bCs w:val="0"/>
          <w:sz w:val="44"/>
          <w:szCs w:val="44"/>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735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44C3">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E844C3">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E20B2"/>
    <w:multiLevelType w:val="singleLevel"/>
    <w:tmpl w:val="EB8E20B2"/>
    <w:lvl w:ilvl="0" w:tentative="0">
      <w:start w:val="1"/>
      <w:numFmt w:val="chineseCounting"/>
      <w:suff w:val="nothing"/>
      <w:lvlText w:val="（%1）"/>
      <w:lvlJc w:val="left"/>
      <w:rPr>
        <w:rFonts w:hint="eastAsia"/>
      </w:rPr>
    </w:lvl>
  </w:abstractNum>
  <w:abstractNum w:abstractNumId="1">
    <w:nsid w:val="F2BE5DF4"/>
    <w:multiLevelType w:val="singleLevel"/>
    <w:tmpl w:val="F2BE5DF4"/>
    <w:lvl w:ilvl="0" w:tentative="0">
      <w:start w:val="1"/>
      <w:numFmt w:val="chineseCounting"/>
      <w:suff w:val="nothing"/>
      <w:lvlText w:val="%1、"/>
      <w:lvlJc w:val="left"/>
      <w:rPr>
        <w:rFonts w:hint="eastAsia"/>
      </w:rPr>
    </w:lvl>
  </w:abstractNum>
  <w:abstractNum w:abstractNumId="2">
    <w:nsid w:val="65372ED6"/>
    <w:multiLevelType w:val="singleLevel"/>
    <w:tmpl w:val="65372ED6"/>
    <w:lvl w:ilvl="0" w:tentative="0">
      <w:start w:val="5"/>
      <w:numFmt w:val="chineseCounting"/>
      <w:suff w:val="nothing"/>
      <w:lvlText w:val="（%1）"/>
      <w:lvlJc w:val="left"/>
      <w:rPr>
        <w:rFonts w:hint="eastAsia"/>
      </w:rPr>
    </w:lvl>
  </w:abstractNum>
  <w:abstractNum w:abstractNumId="3">
    <w:nsid w:val="6E90CD2E"/>
    <w:multiLevelType w:val="singleLevel"/>
    <w:tmpl w:val="6E90CD2E"/>
    <w:lvl w:ilvl="0" w:tentative="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D16A9A"/>
    <w:rsid w:val="028C5218"/>
    <w:rsid w:val="02B349AE"/>
    <w:rsid w:val="04D01847"/>
    <w:rsid w:val="052C2A6C"/>
    <w:rsid w:val="06FB3DF4"/>
    <w:rsid w:val="075DEF4B"/>
    <w:rsid w:val="0D77A1BD"/>
    <w:rsid w:val="0DD780DF"/>
    <w:rsid w:val="0E3DF41A"/>
    <w:rsid w:val="0E8D383A"/>
    <w:rsid w:val="0FD5A9C4"/>
    <w:rsid w:val="0FEF1559"/>
    <w:rsid w:val="0FFFA5D0"/>
    <w:rsid w:val="11BE10DD"/>
    <w:rsid w:val="11FE3E97"/>
    <w:rsid w:val="12103BCB"/>
    <w:rsid w:val="12365B89"/>
    <w:rsid w:val="13182D37"/>
    <w:rsid w:val="13EBB455"/>
    <w:rsid w:val="14EB0535"/>
    <w:rsid w:val="15202377"/>
    <w:rsid w:val="15FFCBB8"/>
    <w:rsid w:val="16BDB81F"/>
    <w:rsid w:val="17663FDE"/>
    <w:rsid w:val="17DCFC49"/>
    <w:rsid w:val="17DECAE5"/>
    <w:rsid w:val="17EC578D"/>
    <w:rsid w:val="199E4152"/>
    <w:rsid w:val="1B063DBD"/>
    <w:rsid w:val="1BFE9419"/>
    <w:rsid w:val="1BFEC0FC"/>
    <w:rsid w:val="1CED62D1"/>
    <w:rsid w:val="1DDD0AE1"/>
    <w:rsid w:val="1DEFCC8A"/>
    <w:rsid w:val="1DFDBE0E"/>
    <w:rsid w:val="1DFEDCDD"/>
    <w:rsid w:val="1E4F5A7B"/>
    <w:rsid w:val="1E7B403B"/>
    <w:rsid w:val="1F0B1394"/>
    <w:rsid w:val="1F572E39"/>
    <w:rsid w:val="1F7EC431"/>
    <w:rsid w:val="1FB30FA6"/>
    <w:rsid w:val="1FBFC6AC"/>
    <w:rsid w:val="1FD91A20"/>
    <w:rsid w:val="1FDF649B"/>
    <w:rsid w:val="1FEDF768"/>
    <w:rsid w:val="1FF25530"/>
    <w:rsid w:val="1FF71328"/>
    <w:rsid w:val="1FFBCD0E"/>
    <w:rsid w:val="1FFFCC8A"/>
    <w:rsid w:val="1FFFE739"/>
    <w:rsid w:val="20337402"/>
    <w:rsid w:val="20BFE1F9"/>
    <w:rsid w:val="20E721F8"/>
    <w:rsid w:val="21DC89A3"/>
    <w:rsid w:val="22A16179"/>
    <w:rsid w:val="24F7800B"/>
    <w:rsid w:val="25AF266D"/>
    <w:rsid w:val="25BF3165"/>
    <w:rsid w:val="271138CD"/>
    <w:rsid w:val="27BED117"/>
    <w:rsid w:val="27DB7B13"/>
    <w:rsid w:val="27DD591E"/>
    <w:rsid w:val="27F7B603"/>
    <w:rsid w:val="27FDCA8A"/>
    <w:rsid w:val="28CF4E13"/>
    <w:rsid w:val="297A4D18"/>
    <w:rsid w:val="297F2A80"/>
    <w:rsid w:val="299F801F"/>
    <w:rsid w:val="29CC5427"/>
    <w:rsid w:val="29FD3534"/>
    <w:rsid w:val="2A2FBF40"/>
    <w:rsid w:val="2A506673"/>
    <w:rsid w:val="2AA33218"/>
    <w:rsid w:val="2AF9E77A"/>
    <w:rsid w:val="2B5879A6"/>
    <w:rsid w:val="2B6D987F"/>
    <w:rsid w:val="2B99FCD3"/>
    <w:rsid w:val="2BB6CCE7"/>
    <w:rsid w:val="2BDB6BA0"/>
    <w:rsid w:val="2BDD29A7"/>
    <w:rsid w:val="2C817A09"/>
    <w:rsid w:val="2CF7131F"/>
    <w:rsid w:val="2D39CCC4"/>
    <w:rsid w:val="2EAE7922"/>
    <w:rsid w:val="2EB41DEA"/>
    <w:rsid w:val="2EBDD83B"/>
    <w:rsid w:val="2EBEC5F4"/>
    <w:rsid w:val="2ED678D9"/>
    <w:rsid w:val="2EF73093"/>
    <w:rsid w:val="2F2B1BEC"/>
    <w:rsid w:val="2F5F4976"/>
    <w:rsid w:val="2FA3C6CD"/>
    <w:rsid w:val="2FDB3FD9"/>
    <w:rsid w:val="2FDC89E4"/>
    <w:rsid w:val="2FDFA82A"/>
    <w:rsid w:val="2FE08E88"/>
    <w:rsid w:val="2FE5064B"/>
    <w:rsid w:val="2FEC0CD0"/>
    <w:rsid w:val="2FEDB019"/>
    <w:rsid w:val="2FF36357"/>
    <w:rsid w:val="2FFA55CA"/>
    <w:rsid w:val="2FFB2A8D"/>
    <w:rsid w:val="2FFC31C9"/>
    <w:rsid w:val="2FFE325A"/>
    <w:rsid w:val="30CE6CD3"/>
    <w:rsid w:val="312D39F9"/>
    <w:rsid w:val="313FC0CE"/>
    <w:rsid w:val="31FFDA82"/>
    <w:rsid w:val="31FFDED5"/>
    <w:rsid w:val="3278E520"/>
    <w:rsid w:val="32FE625D"/>
    <w:rsid w:val="337F1800"/>
    <w:rsid w:val="337F2627"/>
    <w:rsid w:val="33B788D3"/>
    <w:rsid w:val="345E5CA1"/>
    <w:rsid w:val="35BF1D8F"/>
    <w:rsid w:val="35D753A9"/>
    <w:rsid w:val="35FD5EB3"/>
    <w:rsid w:val="35FDF9B1"/>
    <w:rsid w:val="35FF8374"/>
    <w:rsid w:val="35FFEC5D"/>
    <w:rsid w:val="36FD43C1"/>
    <w:rsid w:val="37117919"/>
    <w:rsid w:val="37AD2523"/>
    <w:rsid w:val="37B74BDF"/>
    <w:rsid w:val="37DB32C2"/>
    <w:rsid w:val="37E775B8"/>
    <w:rsid w:val="37E79123"/>
    <w:rsid w:val="37EE56C7"/>
    <w:rsid w:val="37FB627A"/>
    <w:rsid w:val="37FD1556"/>
    <w:rsid w:val="39E7E4A9"/>
    <w:rsid w:val="3A6F8A9F"/>
    <w:rsid w:val="3A736993"/>
    <w:rsid w:val="3AA5FEC0"/>
    <w:rsid w:val="3AADCA21"/>
    <w:rsid w:val="3B3FAC54"/>
    <w:rsid w:val="3B59B187"/>
    <w:rsid w:val="3B7D74A3"/>
    <w:rsid w:val="3B9DEA05"/>
    <w:rsid w:val="3BBF7A64"/>
    <w:rsid w:val="3BDD6480"/>
    <w:rsid w:val="3BE56F0E"/>
    <w:rsid w:val="3BFE458A"/>
    <w:rsid w:val="3C4F6C2D"/>
    <w:rsid w:val="3C8F91DB"/>
    <w:rsid w:val="3CE70DC1"/>
    <w:rsid w:val="3D5A970D"/>
    <w:rsid w:val="3D9DD21F"/>
    <w:rsid w:val="3DBE0546"/>
    <w:rsid w:val="3DBF3D6A"/>
    <w:rsid w:val="3DDF7086"/>
    <w:rsid w:val="3DF7ED3D"/>
    <w:rsid w:val="3DFB96F3"/>
    <w:rsid w:val="3E2F7C2A"/>
    <w:rsid w:val="3E8C3AE3"/>
    <w:rsid w:val="3E9961C1"/>
    <w:rsid w:val="3EB94B1E"/>
    <w:rsid w:val="3EBD5207"/>
    <w:rsid w:val="3EBE552D"/>
    <w:rsid w:val="3EBF10E8"/>
    <w:rsid w:val="3EF50CB9"/>
    <w:rsid w:val="3F3BBEF0"/>
    <w:rsid w:val="3F3F0D66"/>
    <w:rsid w:val="3F3F14CA"/>
    <w:rsid w:val="3F3F6D6B"/>
    <w:rsid w:val="3F46D51D"/>
    <w:rsid w:val="3F57B168"/>
    <w:rsid w:val="3F6759D2"/>
    <w:rsid w:val="3F6C067A"/>
    <w:rsid w:val="3F7F7672"/>
    <w:rsid w:val="3F8F325B"/>
    <w:rsid w:val="3FADDDE9"/>
    <w:rsid w:val="3FAF14D3"/>
    <w:rsid w:val="3FB7AF73"/>
    <w:rsid w:val="3FBF8132"/>
    <w:rsid w:val="3FBFD253"/>
    <w:rsid w:val="3FD16F62"/>
    <w:rsid w:val="3FD90768"/>
    <w:rsid w:val="3FDB1817"/>
    <w:rsid w:val="3FE7ECA0"/>
    <w:rsid w:val="3FEB5CDE"/>
    <w:rsid w:val="3FECEDE6"/>
    <w:rsid w:val="3FED9DA8"/>
    <w:rsid w:val="3FEF66F9"/>
    <w:rsid w:val="3FEFB57D"/>
    <w:rsid w:val="3FF40D5F"/>
    <w:rsid w:val="3FFB241D"/>
    <w:rsid w:val="3FFB4CC3"/>
    <w:rsid w:val="3FFD3372"/>
    <w:rsid w:val="3FFF0860"/>
    <w:rsid w:val="3FFF1DED"/>
    <w:rsid w:val="3FFF8F90"/>
    <w:rsid w:val="3FFFE141"/>
    <w:rsid w:val="410D32A6"/>
    <w:rsid w:val="420E6F2F"/>
    <w:rsid w:val="43FF3A2E"/>
    <w:rsid w:val="44867251"/>
    <w:rsid w:val="455ECA28"/>
    <w:rsid w:val="45765517"/>
    <w:rsid w:val="45BFAF10"/>
    <w:rsid w:val="45EBA309"/>
    <w:rsid w:val="4658764A"/>
    <w:rsid w:val="47560ED4"/>
    <w:rsid w:val="47BBFDA1"/>
    <w:rsid w:val="47D7B304"/>
    <w:rsid w:val="47F6E94A"/>
    <w:rsid w:val="47FE553A"/>
    <w:rsid w:val="47FF2A19"/>
    <w:rsid w:val="47FFAA6B"/>
    <w:rsid w:val="49DF60DE"/>
    <w:rsid w:val="4AE7D4CB"/>
    <w:rsid w:val="4BF7FF93"/>
    <w:rsid w:val="4BFF4083"/>
    <w:rsid w:val="4C9A8CCE"/>
    <w:rsid w:val="4D77E885"/>
    <w:rsid w:val="4D7A860D"/>
    <w:rsid w:val="4D7BEF91"/>
    <w:rsid w:val="4D9BECB0"/>
    <w:rsid w:val="4DB36BDD"/>
    <w:rsid w:val="4DB9D278"/>
    <w:rsid w:val="4DFA1092"/>
    <w:rsid w:val="4DFA639B"/>
    <w:rsid w:val="4DFD0E45"/>
    <w:rsid w:val="4EBBD229"/>
    <w:rsid w:val="4EE76C9A"/>
    <w:rsid w:val="4EECC26C"/>
    <w:rsid w:val="4EFFFFA1"/>
    <w:rsid w:val="4F7C6175"/>
    <w:rsid w:val="4FAB0113"/>
    <w:rsid w:val="4FC00D26"/>
    <w:rsid w:val="4FCF5C16"/>
    <w:rsid w:val="4FDF169A"/>
    <w:rsid w:val="4FE5E460"/>
    <w:rsid w:val="4FE5F54B"/>
    <w:rsid w:val="4FED1B05"/>
    <w:rsid w:val="4FED9DA6"/>
    <w:rsid w:val="4FF5DBC4"/>
    <w:rsid w:val="4FF95262"/>
    <w:rsid w:val="4FFDFFB6"/>
    <w:rsid w:val="4FFFA6E8"/>
    <w:rsid w:val="51FD3872"/>
    <w:rsid w:val="51FF6406"/>
    <w:rsid w:val="52036385"/>
    <w:rsid w:val="529F111B"/>
    <w:rsid w:val="53DEAC62"/>
    <w:rsid w:val="546D5D37"/>
    <w:rsid w:val="55F18FAB"/>
    <w:rsid w:val="55FA7415"/>
    <w:rsid w:val="55FF45F9"/>
    <w:rsid w:val="567C521B"/>
    <w:rsid w:val="56AD555D"/>
    <w:rsid w:val="56D75A3E"/>
    <w:rsid w:val="573BEC38"/>
    <w:rsid w:val="577BE666"/>
    <w:rsid w:val="57B9DDB6"/>
    <w:rsid w:val="57CD3B82"/>
    <w:rsid w:val="57DA7427"/>
    <w:rsid w:val="57EBF938"/>
    <w:rsid w:val="57EFB6C8"/>
    <w:rsid w:val="57FE1A04"/>
    <w:rsid w:val="57FF019D"/>
    <w:rsid w:val="57FF2091"/>
    <w:rsid w:val="594D2E23"/>
    <w:rsid w:val="59886344"/>
    <w:rsid w:val="5A9AC6B9"/>
    <w:rsid w:val="5A9FF17F"/>
    <w:rsid w:val="5ADF12C9"/>
    <w:rsid w:val="5AF77AD2"/>
    <w:rsid w:val="5AFC179E"/>
    <w:rsid w:val="5B3D807E"/>
    <w:rsid w:val="5BB5950F"/>
    <w:rsid w:val="5BBD5CE9"/>
    <w:rsid w:val="5BCC4746"/>
    <w:rsid w:val="5BCF552A"/>
    <w:rsid w:val="5BDFFC76"/>
    <w:rsid w:val="5BE72647"/>
    <w:rsid w:val="5BEF09E1"/>
    <w:rsid w:val="5BF50F56"/>
    <w:rsid w:val="5BF91EED"/>
    <w:rsid w:val="5BFBC178"/>
    <w:rsid w:val="5BFFD65E"/>
    <w:rsid w:val="5C5C20DB"/>
    <w:rsid w:val="5C7966A8"/>
    <w:rsid w:val="5CBFB19A"/>
    <w:rsid w:val="5DAC4D49"/>
    <w:rsid w:val="5DAF2A63"/>
    <w:rsid w:val="5DBF6D0D"/>
    <w:rsid w:val="5DCF6B94"/>
    <w:rsid w:val="5DED1C97"/>
    <w:rsid w:val="5DEDD54A"/>
    <w:rsid w:val="5DEF7EB3"/>
    <w:rsid w:val="5DF54E96"/>
    <w:rsid w:val="5E77B20D"/>
    <w:rsid w:val="5E9A4B02"/>
    <w:rsid w:val="5EAC6BE4"/>
    <w:rsid w:val="5EAF5D9E"/>
    <w:rsid w:val="5EBFEB95"/>
    <w:rsid w:val="5EDF2BA6"/>
    <w:rsid w:val="5EEDAEE6"/>
    <w:rsid w:val="5EEEA728"/>
    <w:rsid w:val="5EEF032E"/>
    <w:rsid w:val="5F1EB6CC"/>
    <w:rsid w:val="5F51CEFC"/>
    <w:rsid w:val="5F5D3F8B"/>
    <w:rsid w:val="5F7F25A6"/>
    <w:rsid w:val="5F7F654B"/>
    <w:rsid w:val="5F9760E6"/>
    <w:rsid w:val="5FAAAB8B"/>
    <w:rsid w:val="5FAC1849"/>
    <w:rsid w:val="5FB16998"/>
    <w:rsid w:val="5FB6C1E4"/>
    <w:rsid w:val="5FBD2578"/>
    <w:rsid w:val="5FBE9D45"/>
    <w:rsid w:val="5FBF1321"/>
    <w:rsid w:val="5FBF32E8"/>
    <w:rsid w:val="5FBF4E4C"/>
    <w:rsid w:val="5FBFACC5"/>
    <w:rsid w:val="5FCE85A1"/>
    <w:rsid w:val="5FD67D20"/>
    <w:rsid w:val="5FDAB28C"/>
    <w:rsid w:val="5FDE5F71"/>
    <w:rsid w:val="5FEF86A1"/>
    <w:rsid w:val="5FF51C2E"/>
    <w:rsid w:val="5FF9CEB3"/>
    <w:rsid w:val="5FFD7404"/>
    <w:rsid w:val="5FFF0E75"/>
    <w:rsid w:val="5FFF10D6"/>
    <w:rsid w:val="5FFFE95E"/>
    <w:rsid w:val="614D5EC2"/>
    <w:rsid w:val="6207BC96"/>
    <w:rsid w:val="627D921D"/>
    <w:rsid w:val="6283706E"/>
    <w:rsid w:val="647F9038"/>
    <w:rsid w:val="64DFBCE1"/>
    <w:rsid w:val="64FFD998"/>
    <w:rsid w:val="652C0601"/>
    <w:rsid w:val="65F5E499"/>
    <w:rsid w:val="669E91DD"/>
    <w:rsid w:val="66C76C8B"/>
    <w:rsid w:val="66FF14BB"/>
    <w:rsid w:val="67BF2851"/>
    <w:rsid w:val="67DDC454"/>
    <w:rsid w:val="67DE67A4"/>
    <w:rsid w:val="67DF3986"/>
    <w:rsid w:val="67E330ED"/>
    <w:rsid w:val="67EF6936"/>
    <w:rsid w:val="67F314A6"/>
    <w:rsid w:val="67F4E3AB"/>
    <w:rsid w:val="67FDCD7E"/>
    <w:rsid w:val="699F8F4A"/>
    <w:rsid w:val="6AB7F11C"/>
    <w:rsid w:val="6AF5953F"/>
    <w:rsid w:val="6AFFC034"/>
    <w:rsid w:val="6B3F2D9E"/>
    <w:rsid w:val="6B5F2DF1"/>
    <w:rsid w:val="6B77F4BE"/>
    <w:rsid w:val="6B85B28E"/>
    <w:rsid w:val="6BBB9878"/>
    <w:rsid w:val="6BE50135"/>
    <w:rsid w:val="6BEBCA9E"/>
    <w:rsid w:val="6BFFB184"/>
    <w:rsid w:val="6C33740F"/>
    <w:rsid w:val="6C372E17"/>
    <w:rsid w:val="6C7BFE88"/>
    <w:rsid w:val="6C885074"/>
    <w:rsid w:val="6CAFDF75"/>
    <w:rsid w:val="6CD17E6F"/>
    <w:rsid w:val="6CFE4E94"/>
    <w:rsid w:val="6D77FA34"/>
    <w:rsid w:val="6DA5FDE4"/>
    <w:rsid w:val="6DBF5B8A"/>
    <w:rsid w:val="6DDFC29C"/>
    <w:rsid w:val="6DF164B8"/>
    <w:rsid w:val="6DF2BB22"/>
    <w:rsid w:val="6DF743FC"/>
    <w:rsid w:val="6DFA8227"/>
    <w:rsid w:val="6DFB251D"/>
    <w:rsid w:val="6E3F9DD0"/>
    <w:rsid w:val="6E7D6000"/>
    <w:rsid w:val="6E9E1C0B"/>
    <w:rsid w:val="6E9F6232"/>
    <w:rsid w:val="6ED30C99"/>
    <w:rsid w:val="6EDF3D9C"/>
    <w:rsid w:val="6EF3F294"/>
    <w:rsid w:val="6EFE9052"/>
    <w:rsid w:val="6F1D1CAE"/>
    <w:rsid w:val="6F3A01E7"/>
    <w:rsid w:val="6F3D027F"/>
    <w:rsid w:val="6F450B59"/>
    <w:rsid w:val="6F572554"/>
    <w:rsid w:val="6F5D5481"/>
    <w:rsid w:val="6F5F34A6"/>
    <w:rsid w:val="6F739072"/>
    <w:rsid w:val="6F7D5715"/>
    <w:rsid w:val="6F7F366A"/>
    <w:rsid w:val="6FAD2413"/>
    <w:rsid w:val="6FBC05AF"/>
    <w:rsid w:val="6FBD803E"/>
    <w:rsid w:val="6FCCDC34"/>
    <w:rsid w:val="6FCD56AA"/>
    <w:rsid w:val="6FCE7B7A"/>
    <w:rsid w:val="6FD11B77"/>
    <w:rsid w:val="6FDD0890"/>
    <w:rsid w:val="6FDD0B58"/>
    <w:rsid w:val="6FFE3AC5"/>
    <w:rsid w:val="6FFEC2FF"/>
    <w:rsid w:val="6FFED73F"/>
    <w:rsid w:val="6FFF6A9D"/>
    <w:rsid w:val="6FFF85A3"/>
    <w:rsid w:val="70A628A5"/>
    <w:rsid w:val="70CFB2AF"/>
    <w:rsid w:val="70EED1B3"/>
    <w:rsid w:val="7103060E"/>
    <w:rsid w:val="717DB816"/>
    <w:rsid w:val="71EBAF7A"/>
    <w:rsid w:val="726D5581"/>
    <w:rsid w:val="72F5A983"/>
    <w:rsid w:val="72FFA878"/>
    <w:rsid w:val="733FC005"/>
    <w:rsid w:val="735F90C5"/>
    <w:rsid w:val="73735343"/>
    <w:rsid w:val="737F4A4A"/>
    <w:rsid w:val="73BEE493"/>
    <w:rsid w:val="73BFEB60"/>
    <w:rsid w:val="73C7A718"/>
    <w:rsid w:val="73CF1F04"/>
    <w:rsid w:val="73F74FCC"/>
    <w:rsid w:val="73FF2970"/>
    <w:rsid w:val="74B643B6"/>
    <w:rsid w:val="74F1B5AE"/>
    <w:rsid w:val="755723C0"/>
    <w:rsid w:val="756B396D"/>
    <w:rsid w:val="7579425E"/>
    <w:rsid w:val="75958629"/>
    <w:rsid w:val="75DED810"/>
    <w:rsid w:val="75EB8FEA"/>
    <w:rsid w:val="75F21652"/>
    <w:rsid w:val="75FE7A6C"/>
    <w:rsid w:val="76570DC5"/>
    <w:rsid w:val="765F1300"/>
    <w:rsid w:val="76974ABC"/>
    <w:rsid w:val="76BF368A"/>
    <w:rsid w:val="76F9C8A6"/>
    <w:rsid w:val="76FC3B89"/>
    <w:rsid w:val="76FF1C25"/>
    <w:rsid w:val="775B6E2F"/>
    <w:rsid w:val="77735A2E"/>
    <w:rsid w:val="777777DF"/>
    <w:rsid w:val="777FEEEE"/>
    <w:rsid w:val="778D7998"/>
    <w:rsid w:val="778DC91E"/>
    <w:rsid w:val="77AFD7D7"/>
    <w:rsid w:val="77BFC8BC"/>
    <w:rsid w:val="77DB7915"/>
    <w:rsid w:val="77E300E3"/>
    <w:rsid w:val="77E75568"/>
    <w:rsid w:val="77EF08EF"/>
    <w:rsid w:val="77EF8522"/>
    <w:rsid w:val="77F33F24"/>
    <w:rsid w:val="77F63134"/>
    <w:rsid w:val="77F72F7A"/>
    <w:rsid w:val="77F74E30"/>
    <w:rsid w:val="77FA6BB6"/>
    <w:rsid w:val="77FBCA07"/>
    <w:rsid w:val="77FDBA10"/>
    <w:rsid w:val="77FF46BA"/>
    <w:rsid w:val="77FF5289"/>
    <w:rsid w:val="77FF9FA0"/>
    <w:rsid w:val="77FFA70B"/>
    <w:rsid w:val="77FFC791"/>
    <w:rsid w:val="785F551B"/>
    <w:rsid w:val="787DB229"/>
    <w:rsid w:val="78973839"/>
    <w:rsid w:val="78BF2868"/>
    <w:rsid w:val="78DF86FF"/>
    <w:rsid w:val="78F7061A"/>
    <w:rsid w:val="796F1045"/>
    <w:rsid w:val="79AEB248"/>
    <w:rsid w:val="79B9558B"/>
    <w:rsid w:val="79E344CE"/>
    <w:rsid w:val="79EA4292"/>
    <w:rsid w:val="79F5C08D"/>
    <w:rsid w:val="79F996E5"/>
    <w:rsid w:val="79FD1670"/>
    <w:rsid w:val="79FF8AA5"/>
    <w:rsid w:val="7A5A114F"/>
    <w:rsid w:val="7A7F22C0"/>
    <w:rsid w:val="7AB74FBD"/>
    <w:rsid w:val="7AB8E66E"/>
    <w:rsid w:val="7AC99249"/>
    <w:rsid w:val="7AEF81D4"/>
    <w:rsid w:val="7AF22D59"/>
    <w:rsid w:val="7AFD3765"/>
    <w:rsid w:val="7B17B492"/>
    <w:rsid w:val="7B29A089"/>
    <w:rsid w:val="7B3C91D2"/>
    <w:rsid w:val="7B6F8651"/>
    <w:rsid w:val="7B75AC04"/>
    <w:rsid w:val="7B77D090"/>
    <w:rsid w:val="7B7B6CA2"/>
    <w:rsid w:val="7B7E8209"/>
    <w:rsid w:val="7B7F187F"/>
    <w:rsid w:val="7B7F6E41"/>
    <w:rsid w:val="7B96333C"/>
    <w:rsid w:val="7B96E430"/>
    <w:rsid w:val="7B9F5900"/>
    <w:rsid w:val="7BBA589F"/>
    <w:rsid w:val="7BBBBA15"/>
    <w:rsid w:val="7BBBD87D"/>
    <w:rsid w:val="7BBC80A9"/>
    <w:rsid w:val="7BBFC324"/>
    <w:rsid w:val="7BC7C43B"/>
    <w:rsid w:val="7BD6CE72"/>
    <w:rsid w:val="7BDB1FCB"/>
    <w:rsid w:val="7BDBEE7E"/>
    <w:rsid w:val="7BDC337C"/>
    <w:rsid w:val="7BE3B3EB"/>
    <w:rsid w:val="7BEF23A0"/>
    <w:rsid w:val="7BEF8E31"/>
    <w:rsid w:val="7BEFBDA5"/>
    <w:rsid w:val="7BEFFC8B"/>
    <w:rsid w:val="7BF38DBE"/>
    <w:rsid w:val="7BF75D2A"/>
    <w:rsid w:val="7BF7D3C7"/>
    <w:rsid w:val="7BF9D807"/>
    <w:rsid w:val="7BFB72C1"/>
    <w:rsid w:val="7BFBA914"/>
    <w:rsid w:val="7BFC4387"/>
    <w:rsid w:val="7BFDE83C"/>
    <w:rsid w:val="7BFF9113"/>
    <w:rsid w:val="7BFF94AB"/>
    <w:rsid w:val="7BFFD338"/>
    <w:rsid w:val="7C5F8518"/>
    <w:rsid w:val="7C778C64"/>
    <w:rsid w:val="7C7D38E9"/>
    <w:rsid w:val="7CB5A254"/>
    <w:rsid w:val="7CBA6754"/>
    <w:rsid w:val="7CC3E680"/>
    <w:rsid w:val="7CD4437E"/>
    <w:rsid w:val="7CDAAEF9"/>
    <w:rsid w:val="7CEF6286"/>
    <w:rsid w:val="7CF88793"/>
    <w:rsid w:val="7CF9F948"/>
    <w:rsid w:val="7CFD07E4"/>
    <w:rsid w:val="7CFF42E1"/>
    <w:rsid w:val="7D4704E7"/>
    <w:rsid w:val="7D6D1AA0"/>
    <w:rsid w:val="7D7F2724"/>
    <w:rsid w:val="7D8F5D1E"/>
    <w:rsid w:val="7D9EE352"/>
    <w:rsid w:val="7DBD1610"/>
    <w:rsid w:val="7DBF1089"/>
    <w:rsid w:val="7DD1F3EB"/>
    <w:rsid w:val="7DE74988"/>
    <w:rsid w:val="7DEEBCFA"/>
    <w:rsid w:val="7DEFAFA1"/>
    <w:rsid w:val="7DF5E7EA"/>
    <w:rsid w:val="7DF70079"/>
    <w:rsid w:val="7DF71B4A"/>
    <w:rsid w:val="7DF79BF8"/>
    <w:rsid w:val="7DF877DD"/>
    <w:rsid w:val="7DFCAE09"/>
    <w:rsid w:val="7DFCEC8C"/>
    <w:rsid w:val="7DFF36FB"/>
    <w:rsid w:val="7DFF4C62"/>
    <w:rsid w:val="7DFF6404"/>
    <w:rsid w:val="7E2D4212"/>
    <w:rsid w:val="7E351BA7"/>
    <w:rsid w:val="7E5F02B6"/>
    <w:rsid w:val="7E77B782"/>
    <w:rsid w:val="7E79D106"/>
    <w:rsid w:val="7E7FDDA6"/>
    <w:rsid w:val="7E99A368"/>
    <w:rsid w:val="7EAB96B5"/>
    <w:rsid w:val="7EB662C3"/>
    <w:rsid w:val="7EBF02B4"/>
    <w:rsid w:val="7EBFDAA3"/>
    <w:rsid w:val="7ECE669E"/>
    <w:rsid w:val="7ECFC7BF"/>
    <w:rsid w:val="7EDF5591"/>
    <w:rsid w:val="7EEE45F8"/>
    <w:rsid w:val="7EF7B697"/>
    <w:rsid w:val="7EFB0260"/>
    <w:rsid w:val="7EFB3F53"/>
    <w:rsid w:val="7EFBA8A3"/>
    <w:rsid w:val="7EFF40DB"/>
    <w:rsid w:val="7F151CA5"/>
    <w:rsid w:val="7F2FD262"/>
    <w:rsid w:val="7F4761F1"/>
    <w:rsid w:val="7F4CC8E0"/>
    <w:rsid w:val="7F4F755A"/>
    <w:rsid w:val="7F5CBB11"/>
    <w:rsid w:val="7F5E1D36"/>
    <w:rsid w:val="7F734DA5"/>
    <w:rsid w:val="7F76445D"/>
    <w:rsid w:val="7F792D26"/>
    <w:rsid w:val="7F79F3F4"/>
    <w:rsid w:val="7F7B3724"/>
    <w:rsid w:val="7F7C504E"/>
    <w:rsid w:val="7F7DFC16"/>
    <w:rsid w:val="7F7E3516"/>
    <w:rsid w:val="7F7E786D"/>
    <w:rsid w:val="7F7F572C"/>
    <w:rsid w:val="7F8D7934"/>
    <w:rsid w:val="7F8FCEA1"/>
    <w:rsid w:val="7F8FF939"/>
    <w:rsid w:val="7F9ABB77"/>
    <w:rsid w:val="7F9F721C"/>
    <w:rsid w:val="7F9FB1CE"/>
    <w:rsid w:val="7FB16FEF"/>
    <w:rsid w:val="7FB31CEB"/>
    <w:rsid w:val="7FB52C25"/>
    <w:rsid w:val="7FBA1DF8"/>
    <w:rsid w:val="7FBA4FB8"/>
    <w:rsid w:val="7FBBBC31"/>
    <w:rsid w:val="7FBCD303"/>
    <w:rsid w:val="7FBE9E0A"/>
    <w:rsid w:val="7FBF17EC"/>
    <w:rsid w:val="7FBF8CF6"/>
    <w:rsid w:val="7FBF9844"/>
    <w:rsid w:val="7FBFAD46"/>
    <w:rsid w:val="7FBFDEA6"/>
    <w:rsid w:val="7FCA3FDE"/>
    <w:rsid w:val="7FCBC7C2"/>
    <w:rsid w:val="7FCD4E9A"/>
    <w:rsid w:val="7FD75723"/>
    <w:rsid w:val="7FD79A39"/>
    <w:rsid w:val="7FD7CAD6"/>
    <w:rsid w:val="7FDDE171"/>
    <w:rsid w:val="7FDE8B05"/>
    <w:rsid w:val="7FDFA1A9"/>
    <w:rsid w:val="7FE68411"/>
    <w:rsid w:val="7FE7049C"/>
    <w:rsid w:val="7FEB3C97"/>
    <w:rsid w:val="7FEBD535"/>
    <w:rsid w:val="7FEE2CEC"/>
    <w:rsid w:val="7FEEADF9"/>
    <w:rsid w:val="7FEFE1EE"/>
    <w:rsid w:val="7FF3347D"/>
    <w:rsid w:val="7FF62D9E"/>
    <w:rsid w:val="7FF75EBB"/>
    <w:rsid w:val="7FF7AA02"/>
    <w:rsid w:val="7FF7C95E"/>
    <w:rsid w:val="7FF7CAC9"/>
    <w:rsid w:val="7FF7FF55"/>
    <w:rsid w:val="7FF7FFCC"/>
    <w:rsid w:val="7FF95D0B"/>
    <w:rsid w:val="7FF9844E"/>
    <w:rsid w:val="7FF98B00"/>
    <w:rsid w:val="7FF9DB8C"/>
    <w:rsid w:val="7FFA8372"/>
    <w:rsid w:val="7FFB641C"/>
    <w:rsid w:val="7FFBC16B"/>
    <w:rsid w:val="7FFBEE0A"/>
    <w:rsid w:val="7FFD3680"/>
    <w:rsid w:val="7FFD6EBD"/>
    <w:rsid w:val="7FFD9B27"/>
    <w:rsid w:val="7FFDACE8"/>
    <w:rsid w:val="7FFDF948"/>
    <w:rsid w:val="7FFE6105"/>
    <w:rsid w:val="7FFE9648"/>
    <w:rsid w:val="7FFEB769"/>
    <w:rsid w:val="7FFF0A1C"/>
    <w:rsid w:val="7FFF289F"/>
    <w:rsid w:val="7FFF6AB0"/>
    <w:rsid w:val="7FFFCD66"/>
    <w:rsid w:val="7FFFDA3B"/>
    <w:rsid w:val="85F7B9EF"/>
    <w:rsid w:val="8BFF5F0E"/>
    <w:rsid w:val="8C7F6CB3"/>
    <w:rsid w:val="8DF7D8D8"/>
    <w:rsid w:val="8EB62F47"/>
    <w:rsid w:val="8F3CDDBF"/>
    <w:rsid w:val="8F6BAEBE"/>
    <w:rsid w:val="8FE7627A"/>
    <w:rsid w:val="8FF1731B"/>
    <w:rsid w:val="8FFC3CD1"/>
    <w:rsid w:val="93F56298"/>
    <w:rsid w:val="96574CBF"/>
    <w:rsid w:val="96D74EE7"/>
    <w:rsid w:val="9796B456"/>
    <w:rsid w:val="97FD3C96"/>
    <w:rsid w:val="97FDCF1B"/>
    <w:rsid w:val="97FFB192"/>
    <w:rsid w:val="9931D39A"/>
    <w:rsid w:val="9AF7C31B"/>
    <w:rsid w:val="9B7D26D8"/>
    <w:rsid w:val="9B9DF56E"/>
    <w:rsid w:val="9BEDEFFC"/>
    <w:rsid w:val="9BFA354F"/>
    <w:rsid w:val="9BFD2827"/>
    <w:rsid w:val="9BFE2294"/>
    <w:rsid w:val="9EA22C90"/>
    <w:rsid w:val="9ED77BD1"/>
    <w:rsid w:val="9FBD311D"/>
    <w:rsid w:val="9FEF133F"/>
    <w:rsid w:val="9FFEAB27"/>
    <w:rsid w:val="9FFFC5BD"/>
    <w:rsid w:val="A0BF55E8"/>
    <w:rsid w:val="A1B71778"/>
    <w:rsid w:val="A5CF0C50"/>
    <w:rsid w:val="A5FF8800"/>
    <w:rsid w:val="A699500B"/>
    <w:rsid w:val="A6B3778F"/>
    <w:rsid w:val="A73EA80C"/>
    <w:rsid w:val="A77D489D"/>
    <w:rsid w:val="A7A33167"/>
    <w:rsid w:val="A7E2807E"/>
    <w:rsid w:val="A7FC4D8E"/>
    <w:rsid w:val="A9FE49B2"/>
    <w:rsid w:val="A9FF482E"/>
    <w:rsid w:val="AB6E91B1"/>
    <w:rsid w:val="AB6FECC3"/>
    <w:rsid w:val="ABA1C7B5"/>
    <w:rsid w:val="ABBF3A10"/>
    <w:rsid w:val="ABFF548E"/>
    <w:rsid w:val="ACD979FB"/>
    <w:rsid w:val="ACE30426"/>
    <w:rsid w:val="ACF7FEF3"/>
    <w:rsid w:val="AD3774E9"/>
    <w:rsid w:val="AD77BA68"/>
    <w:rsid w:val="AD7FED19"/>
    <w:rsid w:val="ADCF6A12"/>
    <w:rsid w:val="ADDF0B27"/>
    <w:rsid w:val="AEBFC7CC"/>
    <w:rsid w:val="AEE663CE"/>
    <w:rsid w:val="AF3B422E"/>
    <w:rsid w:val="AF7DCC30"/>
    <w:rsid w:val="AF7DD8F3"/>
    <w:rsid w:val="AF84EAC3"/>
    <w:rsid w:val="AF99C0FF"/>
    <w:rsid w:val="AF9E10F6"/>
    <w:rsid w:val="AFA5F015"/>
    <w:rsid w:val="AFCEA49B"/>
    <w:rsid w:val="AFDB2750"/>
    <w:rsid w:val="AFE728CE"/>
    <w:rsid w:val="AFF30532"/>
    <w:rsid w:val="AFFBCE2E"/>
    <w:rsid w:val="AFFC1F02"/>
    <w:rsid w:val="B13A256A"/>
    <w:rsid w:val="B1FFC6A8"/>
    <w:rsid w:val="B37F5754"/>
    <w:rsid w:val="B3E113FD"/>
    <w:rsid w:val="B3FC3491"/>
    <w:rsid w:val="B41F13F2"/>
    <w:rsid w:val="B57F6463"/>
    <w:rsid w:val="B5BAC2EA"/>
    <w:rsid w:val="B5BBF3E3"/>
    <w:rsid w:val="B5BF1BC4"/>
    <w:rsid w:val="B5FAEE7D"/>
    <w:rsid w:val="B65A2C24"/>
    <w:rsid w:val="B6BDEFD0"/>
    <w:rsid w:val="B6F2DD09"/>
    <w:rsid w:val="B72FD94B"/>
    <w:rsid w:val="B7531CE7"/>
    <w:rsid w:val="B75E3E31"/>
    <w:rsid w:val="B76E9B91"/>
    <w:rsid w:val="B7BAF04F"/>
    <w:rsid w:val="B7CF4020"/>
    <w:rsid w:val="B7EED121"/>
    <w:rsid w:val="B7EFBC04"/>
    <w:rsid w:val="B7F7328C"/>
    <w:rsid w:val="B947E89F"/>
    <w:rsid w:val="BABF312A"/>
    <w:rsid w:val="BABFC182"/>
    <w:rsid w:val="BACFB070"/>
    <w:rsid w:val="BAF3D55C"/>
    <w:rsid w:val="BAF58913"/>
    <w:rsid w:val="BB1D34DC"/>
    <w:rsid w:val="BB6F3F34"/>
    <w:rsid w:val="BB7E5C56"/>
    <w:rsid w:val="BB9F4FF6"/>
    <w:rsid w:val="BBB7C383"/>
    <w:rsid w:val="BBBF8C0E"/>
    <w:rsid w:val="BBDB6EBF"/>
    <w:rsid w:val="BBEE1C53"/>
    <w:rsid w:val="BBEFE6C4"/>
    <w:rsid w:val="BBF6A053"/>
    <w:rsid w:val="BBF7423C"/>
    <w:rsid w:val="BBF93E2E"/>
    <w:rsid w:val="BBFF28CC"/>
    <w:rsid w:val="BBFF5F19"/>
    <w:rsid w:val="BC3FE9CC"/>
    <w:rsid w:val="BC7D6C25"/>
    <w:rsid w:val="BC7FD966"/>
    <w:rsid w:val="BCAFA92B"/>
    <w:rsid w:val="BCFDEADD"/>
    <w:rsid w:val="BD5E856F"/>
    <w:rsid w:val="BD7B8DEC"/>
    <w:rsid w:val="BDBA1405"/>
    <w:rsid w:val="BDBB3701"/>
    <w:rsid w:val="BDD663FE"/>
    <w:rsid w:val="BDDDC906"/>
    <w:rsid w:val="BDFA6486"/>
    <w:rsid w:val="BDFDE50C"/>
    <w:rsid w:val="BE726F6A"/>
    <w:rsid w:val="BE7FE88A"/>
    <w:rsid w:val="BEB33944"/>
    <w:rsid w:val="BEBF9521"/>
    <w:rsid w:val="BEDCDC50"/>
    <w:rsid w:val="BEDD764F"/>
    <w:rsid w:val="BEE806B2"/>
    <w:rsid w:val="BEEAF313"/>
    <w:rsid w:val="BEEDAFC0"/>
    <w:rsid w:val="BEF433CB"/>
    <w:rsid w:val="BEF6D36D"/>
    <w:rsid w:val="BEF734A2"/>
    <w:rsid w:val="BEFAEFE1"/>
    <w:rsid w:val="BF13337D"/>
    <w:rsid w:val="BF1F1DAD"/>
    <w:rsid w:val="BF367F20"/>
    <w:rsid w:val="BF4F6A02"/>
    <w:rsid w:val="BF6AA7E0"/>
    <w:rsid w:val="BF78F169"/>
    <w:rsid w:val="BF7B1990"/>
    <w:rsid w:val="BF7E526C"/>
    <w:rsid w:val="BF7F2C83"/>
    <w:rsid w:val="BF861B0D"/>
    <w:rsid w:val="BFA32095"/>
    <w:rsid w:val="BFABCCB9"/>
    <w:rsid w:val="BFB5DAE1"/>
    <w:rsid w:val="BFB74AAD"/>
    <w:rsid w:val="BFBF0E25"/>
    <w:rsid w:val="BFBFF1F1"/>
    <w:rsid w:val="BFC80315"/>
    <w:rsid w:val="BFD79A01"/>
    <w:rsid w:val="BFDF72BD"/>
    <w:rsid w:val="BFDFA647"/>
    <w:rsid w:val="BFED1953"/>
    <w:rsid w:val="BFF759B3"/>
    <w:rsid w:val="BFF769A8"/>
    <w:rsid w:val="BFF799CD"/>
    <w:rsid w:val="BFFA0306"/>
    <w:rsid w:val="BFFDF005"/>
    <w:rsid w:val="BFFE6DFA"/>
    <w:rsid w:val="BFFF4BB7"/>
    <w:rsid w:val="BFFFA610"/>
    <w:rsid w:val="BFFFC082"/>
    <w:rsid w:val="C2DE7198"/>
    <w:rsid w:val="C36B322C"/>
    <w:rsid w:val="C57F0DC5"/>
    <w:rsid w:val="C7576E9B"/>
    <w:rsid w:val="C7DB8354"/>
    <w:rsid w:val="C7EBF355"/>
    <w:rsid w:val="C7EF210E"/>
    <w:rsid w:val="C7FE9412"/>
    <w:rsid w:val="C9C5285E"/>
    <w:rsid w:val="CBFB31C9"/>
    <w:rsid w:val="CBFE845D"/>
    <w:rsid w:val="CCBF8D37"/>
    <w:rsid w:val="CCBFA1D8"/>
    <w:rsid w:val="CD7D4009"/>
    <w:rsid w:val="CDBEDF7C"/>
    <w:rsid w:val="CE1A1866"/>
    <w:rsid w:val="CE7FAF8E"/>
    <w:rsid w:val="CF4F790D"/>
    <w:rsid w:val="CF57C140"/>
    <w:rsid w:val="CF9FFB09"/>
    <w:rsid w:val="CFB760D0"/>
    <w:rsid w:val="CFBBA6D6"/>
    <w:rsid w:val="CFDF63F5"/>
    <w:rsid w:val="CFE74E8C"/>
    <w:rsid w:val="CFF1D8B4"/>
    <w:rsid w:val="CFF7CBC4"/>
    <w:rsid w:val="CFFF33BF"/>
    <w:rsid w:val="CFFFD9C0"/>
    <w:rsid w:val="D1FF47F6"/>
    <w:rsid w:val="D23F039E"/>
    <w:rsid w:val="D57F9397"/>
    <w:rsid w:val="D5BFBE65"/>
    <w:rsid w:val="D5EF778C"/>
    <w:rsid w:val="D5F70011"/>
    <w:rsid w:val="D656C9AB"/>
    <w:rsid w:val="D6756CC7"/>
    <w:rsid w:val="D6CF07EA"/>
    <w:rsid w:val="D70D34CF"/>
    <w:rsid w:val="D77AB4CD"/>
    <w:rsid w:val="D7E7817D"/>
    <w:rsid w:val="D7F7F04A"/>
    <w:rsid w:val="D7FEFF35"/>
    <w:rsid w:val="D8DFE0D2"/>
    <w:rsid w:val="D8EB431A"/>
    <w:rsid w:val="D8F61D86"/>
    <w:rsid w:val="D96F9407"/>
    <w:rsid w:val="D97D7343"/>
    <w:rsid w:val="D97DC060"/>
    <w:rsid w:val="D9E3EC31"/>
    <w:rsid w:val="D9FF96F7"/>
    <w:rsid w:val="DA3A4DD1"/>
    <w:rsid w:val="DAF93F97"/>
    <w:rsid w:val="DB3D1F7C"/>
    <w:rsid w:val="DBB47394"/>
    <w:rsid w:val="DBBF5525"/>
    <w:rsid w:val="DBBFA657"/>
    <w:rsid w:val="DBBFCA8B"/>
    <w:rsid w:val="DBDDE46E"/>
    <w:rsid w:val="DBE7C3B5"/>
    <w:rsid w:val="DBEEEA7C"/>
    <w:rsid w:val="DBEFADC2"/>
    <w:rsid w:val="DBFB7D56"/>
    <w:rsid w:val="DBFEE87F"/>
    <w:rsid w:val="DBFF0C63"/>
    <w:rsid w:val="DCE9528D"/>
    <w:rsid w:val="DCFF0778"/>
    <w:rsid w:val="DCFF3121"/>
    <w:rsid w:val="DCFFC8D7"/>
    <w:rsid w:val="DD3FE60E"/>
    <w:rsid w:val="DD7F14DC"/>
    <w:rsid w:val="DDDE12FC"/>
    <w:rsid w:val="DDF3A2C4"/>
    <w:rsid w:val="DDF3B90A"/>
    <w:rsid w:val="DDFB593A"/>
    <w:rsid w:val="DE3F9E19"/>
    <w:rsid w:val="DE731439"/>
    <w:rsid w:val="DEBAE4B4"/>
    <w:rsid w:val="DEDFD774"/>
    <w:rsid w:val="DEFFDB01"/>
    <w:rsid w:val="DF36E45D"/>
    <w:rsid w:val="DF3F37C3"/>
    <w:rsid w:val="DF5E3E01"/>
    <w:rsid w:val="DF6FB7C0"/>
    <w:rsid w:val="DF707CE9"/>
    <w:rsid w:val="DF7CCF17"/>
    <w:rsid w:val="DF7EE272"/>
    <w:rsid w:val="DF97D910"/>
    <w:rsid w:val="DF9F7CA3"/>
    <w:rsid w:val="DF9FA100"/>
    <w:rsid w:val="DFAF73D9"/>
    <w:rsid w:val="DFB7D49D"/>
    <w:rsid w:val="DFBB2C20"/>
    <w:rsid w:val="DFBDF79E"/>
    <w:rsid w:val="DFCBACDC"/>
    <w:rsid w:val="DFDB576F"/>
    <w:rsid w:val="DFEBB0A3"/>
    <w:rsid w:val="DFEBCDE7"/>
    <w:rsid w:val="DFEE0F38"/>
    <w:rsid w:val="DFEF6531"/>
    <w:rsid w:val="DFEF884A"/>
    <w:rsid w:val="DFF20105"/>
    <w:rsid w:val="DFF6B38A"/>
    <w:rsid w:val="DFFA7CED"/>
    <w:rsid w:val="DFFD3951"/>
    <w:rsid w:val="DFFD54D3"/>
    <w:rsid w:val="DFFE3479"/>
    <w:rsid w:val="DFFEE7C6"/>
    <w:rsid w:val="DFFFD93E"/>
    <w:rsid w:val="E1B3A154"/>
    <w:rsid w:val="E1FDB4A1"/>
    <w:rsid w:val="E2AF959B"/>
    <w:rsid w:val="E2BF84BC"/>
    <w:rsid w:val="E3576BE6"/>
    <w:rsid w:val="E3FEAEC8"/>
    <w:rsid w:val="E3FF181B"/>
    <w:rsid w:val="E3FFD29A"/>
    <w:rsid w:val="E47413B9"/>
    <w:rsid w:val="E4CFD5FE"/>
    <w:rsid w:val="E53FC09A"/>
    <w:rsid w:val="E5F93AE4"/>
    <w:rsid w:val="E611F5F4"/>
    <w:rsid w:val="E68E1199"/>
    <w:rsid w:val="E785B0EC"/>
    <w:rsid w:val="E7AFABC1"/>
    <w:rsid w:val="E7B101DD"/>
    <w:rsid w:val="E7D98CF7"/>
    <w:rsid w:val="E7E60031"/>
    <w:rsid w:val="E7F6FB63"/>
    <w:rsid w:val="E7FE2F99"/>
    <w:rsid w:val="E7FFC0A3"/>
    <w:rsid w:val="E7FFC1B6"/>
    <w:rsid w:val="E7FFDB6C"/>
    <w:rsid w:val="E8B7CBE2"/>
    <w:rsid w:val="E8FBF3EB"/>
    <w:rsid w:val="E8FF2BCC"/>
    <w:rsid w:val="E936E05E"/>
    <w:rsid w:val="E95DF6D3"/>
    <w:rsid w:val="E96F6AB6"/>
    <w:rsid w:val="E9756024"/>
    <w:rsid w:val="EAD35EA9"/>
    <w:rsid w:val="EAFE25D4"/>
    <w:rsid w:val="EAFFF850"/>
    <w:rsid w:val="EB390713"/>
    <w:rsid w:val="EB9A5612"/>
    <w:rsid w:val="EBDF90D4"/>
    <w:rsid w:val="ECDEFCE2"/>
    <w:rsid w:val="ECEF51E9"/>
    <w:rsid w:val="ED5E7D85"/>
    <w:rsid w:val="ED76D0FB"/>
    <w:rsid w:val="ED7FEF32"/>
    <w:rsid w:val="EDBD0EBA"/>
    <w:rsid w:val="EDF52C6D"/>
    <w:rsid w:val="EDF6778E"/>
    <w:rsid w:val="EDFD4AF8"/>
    <w:rsid w:val="EE2FAF8E"/>
    <w:rsid w:val="EEBB1F0F"/>
    <w:rsid w:val="EECF07FD"/>
    <w:rsid w:val="EED76E02"/>
    <w:rsid w:val="EEEF3AB8"/>
    <w:rsid w:val="EEEFEB05"/>
    <w:rsid w:val="EEFA6E44"/>
    <w:rsid w:val="EEFF2B2E"/>
    <w:rsid w:val="EEFF7A19"/>
    <w:rsid w:val="EF3ECA10"/>
    <w:rsid w:val="EF578DBC"/>
    <w:rsid w:val="EF5DB971"/>
    <w:rsid w:val="EF6F4661"/>
    <w:rsid w:val="EF77EB61"/>
    <w:rsid w:val="EF7DC6BC"/>
    <w:rsid w:val="EF7E84CC"/>
    <w:rsid w:val="EF7F21C3"/>
    <w:rsid w:val="EF8DC82B"/>
    <w:rsid w:val="EF9BAEED"/>
    <w:rsid w:val="EF9F27CB"/>
    <w:rsid w:val="EFB72E48"/>
    <w:rsid w:val="EFBB5BA8"/>
    <w:rsid w:val="EFBFFCBB"/>
    <w:rsid w:val="EFDB0820"/>
    <w:rsid w:val="EFDB45A1"/>
    <w:rsid w:val="EFDD0EEA"/>
    <w:rsid w:val="EFDFAEE8"/>
    <w:rsid w:val="EFDFD628"/>
    <w:rsid w:val="EFEB8137"/>
    <w:rsid w:val="EFF68B9A"/>
    <w:rsid w:val="EFFBC796"/>
    <w:rsid w:val="EFFDAE75"/>
    <w:rsid w:val="EFFE416B"/>
    <w:rsid w:val="EFFF4D7A"/>
    <w:rsid w:val="EFFF8734"/>
    <w:rsid w:val="EFFFBD71"/>
    <w:rsid w:val="EFFFC9AE"/>
    <w:rsid w:val="EFFFF87C"/>
    <w:rsid w:val="F17B5CA8"/>
    <w:rsid w:val="F1DCFADD"/>
    <w:rsid w:val="F2BF8DD3"/>
    <w:rsid w:val="F2ED5A32"/>
    <w:rsid w:val="F2EF142F"/>
    <w:rsid w:val="F2FA9AD6"/>
    <w:rsid w:val="F2FF2784"/>
    <w:rsid w:val="F33C9C70"/>
    <w:rsid w:val="F37AE2BE"/>
    <w:rsid w:val="F37F5046"/>
    <w:rsid w:val="F38B9705"/>
    <w:rsid w:val="F3BD4FBC"/>
    <w:rsid w:val="F3DEAB71"/>
    <w:rsid w:val="F44E05FC"/>
    <w:rsid w:val="F4D6C8DB"/>
    <w:rsid w:val="F4D90497"/>
    <w:rsid w:val="F4F7F21F"/>
    <w:rsid w:val="F4F9FDCF"/>
    <w:rsid w:val="F4FB3A4B"/>
    <w:rsid w:val="F53794EB"/>
    <w:rsid w:val="F5BFFD99"/>
    <w:rsid w:val="F5CA10FF"/>
    <w:rsid w:val="F5E7C3C9"/>
    <w:rsid w:val="F5EB0477"/>
    <w:rsid w:val="F5EEB9B9"/>
    <w:rsid w:val="F5EFF0C2"/>
    <w:rsid w:val="F5FD3F52"/>
    <w:rsid w:val="F5FF5B4B"/>
    <w:rsid w:val="F637121B"/>
    <w:rsid w:val="F667BD9C"/>
    <w:rsid w:val="F677A29A"/>
    <w:rsid w:val="F6BAF431"/>
    <w:rsid w:val="F6D7E838"/>
    <w:rsid w:val="F6DF7FAC"/>
    <w:rsid w:val="F6F70430"/>
    <w:rsid w:val="F6F99145"/>
    <w:rsid w:val="F6FD1BC4"/>
    <w:rsid w:val="F71B9964"/>
    <w:rsid w:val="F74FC2D2"/>
    <w:rsid w:val="F75F9461"/>
    <w:rsid w:val="F75FF77B"/>
    <w:rsid w:val="F767CDBA"/>
    <w:rsid w:val="F76D27F2"/>
    <w:rsid w:val="F7778B8E"/>
    <w:rsid w:val="F77B5B04"/>
    <w:rsid w:val="F77D8A71"/>
    <w:rsid w:val="F79B1D84"/>
    <w:rsid w:val="F7AE64A6"/>
    <w:rsid w:val="F7AFB837"/>
    <w:rsid w:val="F7B2F440"/>
    <w:rsid w:val="F7CF1422"/>
    <w:rsid w:val="F7DDDF04"/>
    <w:rsid w:val="F7E7D0B6"/>
    <w:rsid w:val="F7EEC4E1"/>
    <w:rsid w:val="F7EF9959"/>
    <w:rsid w:val="F7F76BCC"/>
    <w:rsid w:val="F7FBA2CB"/>
    <w:rsid w:val="F7FD954B"/>
    <w:rsid w:val="F7FF27B4"/>
    <w:rsid w:val="F7FF28B6"/>
    <w:rsid w:val="F805C9A9"/>
    <w:rsid w:val="F89F2F7C"/>
    <w:rsid w:val="F8DFFD3A"/>
    <w:rsid w:val="F93FCA66"/>
    <w:rsid w:val="F9AF175F"/>
    <w:rsid w:val="F9BFBB68"/>
    <w:rsid w:val="F9CFDA20"/>
    <w:rsid w:val="F9D57599"/>
    <w:rsid w:val="F9E753DC"/>
    <w:rsid w:val="F9EE500F"/>
    <w:rsid w:val="F9F775E9"/>
    <w:rsid w:val="F9FFD582"/>
    <w:rsid w:val="FA1ABEEB"/>
    <w:rsid w:val="FA3FFEA3"/>
    <w:rsid w:val="FA5AEFF8"/>
    <w:rsid w:val="FA85F7DE"/>
    <w:rsid w:val="FAD1D7DC"/>
    <w:rsid w:val="FAF918E2"/>
    <w:rsid w:val="FAFF0093"/>
    <w:rsid w:val="FAFF3EF9"/>
    <w:rsid w:val="FAFF7E02"/>
    <w:rsid w:val="FB19095E"/>
    <w:rsid w:val="FB1F9E2E"/>
    <w:rsid w:val="FB351E23"/>
    <w:rsid w:val="FB5F4610"/>
    <w:rsid w:val="FB63C62B"/>
    <w:rsid w:val="FB7A390F"/>
    <w:rsid w:val="FB7F189C"/>
    <w:rsid w:val="FB9E0E51"/>
    <w:rsid w:val="FB9FCA56"/>
    <w:rsid w:val="FBA7EF5D"/>
    <w:rsid w:val="FBBB515D"/>
    <w:rsid w:val="FBBE9635"/>
    <w:rsid w:val="FBBF2FB0"/>
    <w:rsid w:val="FBBF87C7"/>
    <w:rsid w:val="FBCFFA3E"/>
    <w:rsid w:val="FBDA17AF"/>
    <w:rsid w:val="FBEFB78F"/>
    <w:rsid w:val="FBF49AC8"/>
    <w:rsid w:val="FBFBE360"/>
    <w:rsid w:val="FBFE53E9"/>
    <w:rsid w:val="FBFED47C"/>
    <w:rsid w:val="FBFF2360"/>
    <w:rsid w:val="FBFF46A1"/>
    <w:rsid w:val="FBFF72AA"/>
    <w:rsid w:val="FBFF7F19"/>
    <w:rsid w:val="FC35415F"/>
    <w:rsid w:val="FC3A1CB4"/>
    <w:rsid w:val="FC7D0F77"/>
    <w:rsid w:val="FC7F1794"/>
    <w:rsid w:val="FC9F0533"/>
    <w:rsid w:val="FCBE41D3"/>
    <w:rsid w:val="FCDD26C6"/>
    <w:rsid w:val="FCDE0ADE"/>
    <w:rsid w:val="FCE703D0"/>
    <w:rsid w:val="FCE7E07B"/>
    <w:rsid w:val="FCF7F0F7"/>
    <w:rsid w:val="FCFC67FA"/>
    <w:rsid w:val="FCFF830D"/>
    <w:rsid w:val="FD0F058B"/>
    <w:rsid w:val="FD0F24E2"/>
    <w:rsid w:val="FD380C99"/>
    <w:rsid w:val="FD564F59"/>
    <w:rsid w:val="FD5F891E"/>
    <w:rsid w:val="FD664A0B"/>
    <w:rsid w:val="FD7FA9BA"/>
    <w:rsid w:val="FD9E5604"/>
    <w:rsid w:val="FD9F63EA"/>
    <w:rsid w:val="FDAEE130"/>
    <w:rsid w:val="FDAFE357"/>
    <w:rsid w:val="FDB4A354"/>
    <w:rsid w:val="FDC6CF64"/>
    <w:rsid w:val="FDDFA87A"/>
    <w:rsid w:val="FDDFCC5F"/>
    <w:rsid w:val="FDDFFBD1"/>
    <w:rsid w:val="FDE5B9BF"/>
    <w:rsid w:val="FDF72CF6"/>
    <w:rsid w:val="FDF78FFC"/>
    <w:rsid w:val="FDF94AC3"/>
    <w:rsid w:val="FDFD9302"/>
    <w:rsid w:val="FDFE25E1"/>
    <w:rsid w:val="FDFE8117"/>
    <w:rsid w:val="FDFFA0A4"/>
    <w:rsid w:val="FDFFC5CB"/>
    <w:rsid w:val="FDFFDB07"/>
    <w:rsid w:val="FE57FFBB"/>
    <w:rsid w:val="FE5F5F01"/>
    <w:rsid w:val="FE6B7E77"/>
    <w:rsid w:val="FE7788F0"/>
    <w:rsid w:val="FE7EEDEB"/>
    <w:rsid w:val="FE7FD76A"/>
    <w:rsid w:val="FE9D01AD"/>
    <w:rsid w:val="FEAFE9B8"/>
    <w:rsid w:val="FEBF2BF4"/>
    <w:rsid w:val="FEBFC5E4"/>
    <w:rsid w:val="FEC7894D"/>
    <w:rsid w:val="FECE8413"/>
    <w:rsid w:val="FECF310D"/>
    <w:rsid w:val="FED7E423"/>
    <w:rsid w:val="FEDBBEF8"/>
    <w:rsid w:val="FEE5B710"/>
    <w:rsid w:val="FEECADBA"/>
    <w:rsid w:val="FEED1C2E"/>
    <w:rsid w:val="FEED529E"/>
    <w:rsid w:val="FEED55CC"/>
    <w:rsid w:val="FEEF8D9A"/>
    <w:rsid w:val="FEEFE7D8"/>
    <w:rsid w:val="FEEFFB01"/>
    <w:rsid w:val="FEF31DBA"/>
    <w:rsid w:val="FEF540BE"/>
    <w:rsid w:val="FEF8E992"/>
    <w:rsid w:val="FEFE07DD"/>
    <w:rsid w:val="FEFE3CB2"/>
    <w:rsid w:val="FEFF0DEF"/>
    <w:rsid w:val="FEFF1BB4"/>
    <w:rsid w:val="FEFF1CE4"/>
    <w:rsid w:val="FEFFB936"/>
    <w:rsid w:val="FEFFBA8F"/>
    <w:rsid w:val="FF0DB69E"/>
    <w:rsid w:val="FF150FD7"/>
    <w:rsid w:val="FF393E9E"/>
    <w:rsid w:val="FF3D88B3"/>
    <w:rsid w:val="FF3EC061"/>
    <w:rsid w:val="FF3F0446"/>
    <w:rsid w:val="FF3FE98E"/>
    <w:rsid w:val="FF5A1041"/>
    <w:rsid w:val="FF5C2927"/>
    <w:rsid w:val="FF5D6490"/>
    <w:rsid w:val="FF5F1EC0"/>
    <w:rsid w:val="FF5FA417"/>
    <w:rsid w:val="FF6FA926"/>
    <w:rsid w:val="FF6FC824"/>
    <w:rsid w:val="FF6FEA9B"/>
    <w:rsid w:val="FF7C94A1"/>
    <w:rsid w:val="FF7FA19D"/>
    <w:rsid w:val="FF8C7B65"/>
    <w:rsid w:val="FFACC661"/>
    <w:rsid w:val="FFAE1CE1"/>
    <w:rsid w:val="FFAF5C09"/>
    <w:rsid w:val="FFAFCC56"/>
    <w:rsid w:val="FFB587C3"/>
    <w:rsid w:val="FFB906DD"/>
    <w:rsid w:val="FFBBA30F"/>
    <w:rsid w:val="FFBBF9A1"/>
    <w:rsid w:val="FFBDEFD0"/>
    <w:rsid w:val="FFBE788B"/>
    <w:rsid w:val="FFBF308D"/>
    <w:rsid w:val="FFBF64F9"/>
    <w:rsid w:val="FFBFA3B7"/>
    <w:rsid w:val="FFC76D48"/>
    <w:rsid w:val="FFCB7B7E"/>
    <w:rsid w:val="FFDD4943"/>
    <w:rsid w:val="FFDEE9F5"/>
    <w:rsid w:val="FFDF1B08"/>
    <w:rsid w:val="FFDF5430"/>
    <w:rsid w:val="FFDF8315"/>
    <w:rsid w:val="FFDFB4A0"/>
    <w:rsid w:val="FFDFC95B"/>
    <w:rsid w:val="FFE7081F"/>
    <w:rsid w:val="FFE7A0F3"/>
    <w:rsid w:val="FFEB3C89"/>
    <w:rsid w:val="FFEFF434"/>
    <w:rsid w:val="FFF33D4F"/>
    <w:rsid w:val="FFF57297"/>
    <w:rsid w:val="FFF7F019"/>
    <w:rsid w:val="FFF956A4"/>
    <w:rsid w:val="FFFA76C2"/>
    <w:rsid w:val="FFFB1774"/>
    <w:rsid w:val="FFFB29D9"/>
    <w:rsid w:val="FFFB5764"/>
    <w:rsid w:val="FFFC424A"/>
    <w:rsid w:val="FFFC9502"/>
    <w:rsid w:val="FFFD2059"/>
    <w:rsid w:val="FFFD95FC"/>
    <w:rsid w:val="FFFE079E"/>
    <w:rsid w:val="FFFE2279"/>
    <w:rsid w:val="FFFE56CF"/>
    <w:rsid w:val="FFFE763E"/>
    <w:rsid w:val="FFFE9741"/>
    <w:rsid w:val="FFFEA3F1"/>
    <w:rsid w:val="FFFF3B69"/>
    <w:rsid w:val="FFFF50C3"/>
    <w:rsid w:val="FFFF71F3"/>
    <w:rsid w:val="FFFFC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6507</Words>
  <Characters>6962</Characters>
  <Lines>0</Lines>
  <Paragraphs>0</Paragraphs>
  <TotalTime>82</TotalTime>
  <ScaleCrop>false</ScaleCrop>
  <LinksUpToDate>false</LinksUpToDate>
  <CharactersWithSpaces>7112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2024-03-29T08:36:00Z</dcterms:created>
  <dc:creator>Administrator</dc:creator>
  <cp:lastModifiedBy>王木木</cp:lastModifiedBy>
  <cp:lastPrinted>2025-06-20T08:14:00Z</cp:lastPrinted>
  <dcterms:modified xsi:type="dcterms:W3CDTF">2025-09-23T01:08:29Z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E094A513D783445A8F3BF44B189184E7_13</vt:lpwstr>
  </property>
</Properties>
</file>