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Style w:val="8"/>
        <w:tblW w:w="15306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中共岳阳市委党史研究室</w:t>
            </w:r>
            <w:r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  <w:t>2026</w:t>
            </w: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年度</w:t>
            </w:r>
          </w:p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525" w:lineRule="exact"/>
              <w:ind w:left="20"/>
              <w:jc w:val="center"/>
              <w:rPr>
                <w:rFonts w:ascii="Dialog" w:hAnsi="Times New Roman" w:eastAsia="Dialog" w:cs="Dialog"/>
                <w:sz w:val="44"/>
                <w:szCs w:val="44"/>
              </w:rPr>
            </w:pPr>
            <w:r>
              <w:rPr>
                <w:rFonts w:hint="eastAsia" w:ascii="Dialog" w:hAnsi="Times New Roman" w:eastAsia="Dialog" w:cs="Dialog"/>
                <w:sz w:val="44"/>
                <w:szCs w:val="44"/>
              </w:rPr>
              <w:t>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第一部分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第二部分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年部门预算公开表格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、收入总表</w:t>
            </w:r>
          </w:p>
        </w:tc>
      </w:tr>
      <w:tr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4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、支出预算分类汇总表（按政府预算经济分类）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、支出预算分类汇总表（按部门预算经济分类）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、财政拨款收支总表</w:t>
            </w:r>
          </w:p>
        </w:tc>
      </w:tr>
      <w:tr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7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8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人员经费（工资福利支出）（按政府预算经济分类）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9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人员经费（工资福利支出）（按部门预算经济分类）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10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公用经费（商品和服务支出）（按政府预算经济分类）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公用经费（商品和服务支出）（按部门预算经济分类）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14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、一般公共预算“三公”经费支出表</w:t>
            </w:r>
          </w:p>
        </w:tc>
      </w:tr>
      <w:tr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17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18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、国有资本经营预算支出表</w:t>
            </w:r>
          </w:p>
        </w:tc>
      </w:tr>
      <w:tr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19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、财政专户管理资金预算支出表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20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、专项资金预算汇总表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、项目支出绩效目标表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、部门整体支出绩效目标表</w:t>
            </w:r>
          </w:p>
        </w:tc>
      </w:tr>
      <w:tr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color w:val="FF0000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color w:val="FF0000"/>
                <w:sz w:val="32"/>
                <w:szCs w:val="32"/>
              </w:rPr>
              <w:t>注：以上部门预算公开报表中，空表表示本部门无相关收支情况。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第一部分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一、部门基本概况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（一）职能职责</w:t>
            </w:r>
          </w:p>
        </w:tc>
      </w:tr>
      <w:tr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1.贯彻执行中共中央、国务院、中共湖南省委、省政府关于党史、地方志编修的有关方针、政策及规定，拟订地方性的党史、地方志编修工作政策、规定和规划。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2.认真贯彻落实市委、市政府指示精神，组织全市党史、市志、部门志、专业志及市志丛书的编修及管理工作。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3.负责对各县市区和各部门的党史、史料、方志、年鉴工作进行督查和业务指导；培训党史、方志干部；组织对各级史（志）稿的评审、验收、出版和评奖。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4.收集、整理、研究岳阳地方党史、地方文献资料和市情资料，编纂出版《中共岳阳地方史》《中共岳阳市委工作纪实》《回首当年》等；规划和组织对岳阳籍重要党史人物生平和思想研究；编写党史人物传记等。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5.编辑出版《岳阳年鉴》；建立《岳阳年鉴》全文数据库（CAFD）；指导全市各县市区年鉴编辑出版工作。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6.依据《著作权法》等有关法律、法规，负责对全市史书、志书、年鉴编纂工作纠纷进行技术鉴定仲裁。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7.运用党史、方志资料和党史、方志研究成果，开展各种形式的宣传教育，发挥“存史、资政、育人”的社会功能；会同有关部门协助市委组织重大党史事件、重要党史人物的纪念活动。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8.负责市党史联络组的日常工作，为市党史联络组的老同志做好党史工作提供服务。</w:t>
            </w:r>
          </w:p>
          <w:p>
            <w:pPr>
              <w:spacing w:beforeLines="0" w:afterLines="0" w:line="375" w:lineRule="exact"/>
              <w:ind w:left="20" w:leftChars="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9.承办市委、市政府交办的其他事项。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beforeLines="0" w:afterLines="0" w:line="375" w:lineRule="exact"/>
              <w:ind w:left="20" w:leftChars="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（二）机构设置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beforeLines="0" w:afterLines="0" w:line="375" w:lineRule="exact"/>
              <w:ind w:left="20" w:leftChars="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中共岳阳市委党史研究室设置6个内设机构：综合部、党史编研部、历史人物研究部、方志部、年鉴部、党办。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leftChars="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二、部门预算构成</w:t>
            </w:r>
          </w:p>
        </w:tc>
      </w:tr>
      <w:tr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leftChars="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本部门预算为汇总预算，纳入编制范围的预算单位包括：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leftChars="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1、</w:t>
            </w:r>
            <w:r>
              <w:rPr>
                <w:rFonts w:hint="eastAsia" w:ascii="宋体" w:hAnsi="宋体" w:eastAsia="宋体"/>
                <w:sz w:val="32"/>
                <w:szCs w:val="24"/>
                <w:lang w:val="en" w:eastAsia="zh-CN"/>
              </w:rPr>
              <w:t>中共岳阳市委党史研究室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本级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beforeLines="0" w:afterLines="0" w:line="375" w:lineRule="exact"/>
              <w:rPr>
                <w:rFonts w:ascii="宋体" w:hAnsi="Times New Roman" w:eastAsia="宋体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三、部门收支总体情况</w:t>
            </w:r>
          </w:p>
        </w:tc>
      </w:tr>
      <w:tr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表均为空。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（一）收入预算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包括一般公共预算、政府性基金、国有资本经营预算等财政拨款收入，以及经营收入、事业收入等单位资金。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年度本部门收入预算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402.80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万元，其中，一般公共预算拨款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402.80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万元，政府性基金预算资金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，国有资本经营预算资金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，财政专户管理资金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，上级补助收入资金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万元，事业单位经营收入资金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万元，上年结转结余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年收入较去年增加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18.71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4.87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，主要是因为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人员经费增加。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（二）支出预算</w:t>
            </w:r>
          </w:p>
        </w:tc>
      </w:tr>
      <w:tr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年本部门支出预算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402.80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一般公共服务支出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259.92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社会保障和就业支出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110.66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卫生健康支出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14.29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住房保障支出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17.92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万元，支出较去年增加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18.71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4.87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，主要是因为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人员经费增加。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四、一般公共预算拨款支出预算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年一般公共预算拨款支出预算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402.80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一般公共服务支出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259.92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64.53%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社会保障和就业支出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110.66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27.47%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卫生健康支出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14.29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3.55%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住房保障支出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17.92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4.45%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；具体安排情况如下：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（一）基本支出：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年基本支出年初预算数为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358.80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（二）项目支出：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年项目支出年初预算数为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44.00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），是指部门为完成特定行政工作任务或事业发展目标而发生的支出，包括有关业务工作经费、运行维护经费、其他事业发展资金等。其中：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年日常工作经费专项支出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主要用于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党史地方志业务工作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非税征管经费专项支出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主要用于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《岳阳年鉴》编纂出版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方面</w:t>
            </w:r>
            <w:r>
              <w:rPr>
                <w:rFonts w:hint="eastAsia" w:ascii="宋体" w:hAnsi="宋体" w:eastAsia="宋体"/>
                <w:sz w:val="32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五、政府性基金预算支出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年度本部门无政府性基金安排的支出，所以公开的附件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15-17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（政府性基金预算）为空。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六、其他重要事项的情况说明</w:t>
            </w:r>
          </w:p>
        </w:tc>
      </w:tr>
      <w:tr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（一）机关运行经费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年机关运行经费当年一般公共预算拨款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54.61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），比上一年增加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3.35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6.5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，主要原因是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公用经费增加。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（二）“三公”经费预算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年“三公”经费预算数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），其中，公务接待费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万元，因公出国（境）费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万元，公务用车购置及运行费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万元（其中，公务用车购置费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万元，公务用车运行费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万元）。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年三公经费预算较上年增加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33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，主要原因是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财政统一增加预算。</w:t>
            </w:r>
          </w:p>
        </w:tc>
      </w:tr>
      <w:tr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（三）一般性支出情况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年会议费预算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会议费、培训费），拟召开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次会议，人数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人，内容为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全市党史地方志系统工作推进会议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；培训费预算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拟开展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次培训，人数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人，内容为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干部参加党校培训费用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；202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年度本部门未计划举办节庆、晚会、论坛、赛事活动。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（四）委托业务费情况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年本级等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家行政事业单位委托业务费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万元，比上年预算减少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1.8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万元，下降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100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，主要原因是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委托业务在专项经费。</w:t>
            </w:r>
          </w:p>
        </w:tc>
      </w:tr>
      <w:tr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（五）政府采购情况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年政府采购预算总额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17.55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万元，其中工程类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万元，货物类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0.35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万元，服务类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17.2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（六）国有资产占有使用及新增资产配置情况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截至上年底，本部门共有车辆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辆，其中领导干部用车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辆，一般公务用车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辆，其他用车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辆。单位价值</w:t>
            </w:r>
            <w:r>
              <w:rPr>
                <w:rFonts w:ascii="宋体" w:hAnsi="Times New Roman" w:cs="宋体"/>
                <w:sz w:val="32"/>
                <w:szCs w:val="32"/>
              </w:rPr>
              <w:t>50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台，单位价值</w:t>
            </w:r>
            <w:r>
              <w:rPr>
                <w:rFonts w:ascii="宋体" w:hAnsi="Times New Roman" w:cs="宋体"/>
                <w:sz w:val="32"/>
                <w:szCs w:val="32"/>
              </w:rPr>
              <w:t>100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万元以上专用设备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台。</w:t>
            </w:r>
            <w:r>
              <w:rPr>
                <w:rFonts w:ascii="宋体" w:hAnsi="Times New Roman" w:cs="宋体"/>
                <w:sz w:val="32"/>
                <w:szCs w:val="32"/>
              </w:rPr>
              <w:t xml:space="preserve"> </w:t>
            </w:r>
          </w:p>
          <w:p>
            <w:pPr>
              <w:spacing w:line="375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</w:pPr>
            <w:r>
              <w:rPr>
                <w:rFonts w:ascii="宋体" w:hAnsi="Times New Roman" w:cs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宋体" w:hAnsi="Times New Roman" w:cs="宋体"/>
                <w:sz w:val="32"/>
                <w:szCs w:val="32"/>
              </w:rPr>
              <w:t>202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年拟报废处置车辆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辆，其中：报废处置领导干部用车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辆，报废处置一般公务用车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辆，报废处置其他用车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辆，报废处置单位价值</w:t>
            </w:r>
            <w:r>
              <w:rPr>
                <w:rFonts w:ascii="宋体" w:hAnsi="Times New Roman" w:cs="宋体"/>
                <w:sz w:val="32"/>
                <w:szCs w:val="32"/>
              </w:rPr>
              <w:t>50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台，报废处置单位价值</w:t>
            </w:r>
            <w:r>
              <w:rPr>
                <w:rFonts w:ascii="宋体" w:hAnsi="Times New Roman" w:cs="宋体"/>
                <w:sz w:val="32"/>
                <w:szCs w:val="32"/>
              </w:rPr>
              <w:t>100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台。拟新增配置车辆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辆，其中领导干部用车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辆，一般公务用车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辆，其他用车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</w:t>
            </w:r>
            <w:r>
              <w:rPr>
                <w:rFonts w:hint="eastAsia" w:ascii="宋体" w:hAnsi="Times New Roman" w:cs="宋体"/>
                <w:sz w:val="32"/>
                <w:szCs w:val="32"/>
                <w:lang w:eastAsia="zh-CN"/>
              </w:rPr>
              <w:t>。</w:t>
            </w:r>
          </w:p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cs="宋体"/>
                <w:sz w:val="32"/>
                <w:szCs w:val="32"/>
              </w:rPr>
              <w:t xml:space="preserve">  202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年拟新增配备领导干部用车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辆，一般公务用车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辆，其他用车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辆，新增配备单位价值</w:t>
            </w:r>
            <w:r>
              <w:rPr>
                <w:rFonts w:ascii="宋体" w:hAnsi="Times New Roman" w:cs="宋体"/>
                <w:sz w:val="32"/>
                <w:szCs w:val="32"/>
              </w:rPr>
              <w:t>50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台，单位价值</w:t>
            </w:r>
            <w:r>
              <w:rPr>
                <w:rFonts w:ascii="宋体" w:hAnsi="Times New Roman" w:cs="宋体"/>
                <w:sz w:val="32"/>
                <w:szCs w:val="32"/>
              </w:rPr>
              <w:t>100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万元以上专用设备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台。</w:t>
            </w:r>
            <w:r>
              <w:rPr>
                <w:rFonts w:ascii="宋体" w:hAnsi="Times New Roman" w:cs="宋体"/>
                <w:sz w:val="32"/>
                <w:szCs w:val="32"/>
              </w:rPr>
              <w:t>202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年度本部门未计划处置或新增车辆、设备等。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（七）预算绩效目标说明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本部门所有支出实行绩效目标管理。纳入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年部门整体支出绩效目标的金额为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402.80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万元，其中，基本支出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358.80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万元，项目支出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44.00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万元，详见文尾附表中部门预算公开表格的表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21-22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七、名词解释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第二部分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年部门预算公开表格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、收入总表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、支出预算分类汇总表（按政府预算经济分类）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、支出预算分类汇总表（按部门预算经济分类）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、财政拨款收支总表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人员经费（工资福利支出）（按政府预算经济分类）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人员经费（工资福利支出）（按部门预算经济分类）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公用经费（商品和服务支出）（按政府预算经济分类）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公用经费（商品和服务支出）（按部门预算经济分类）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、一般公共预算“三公”经费支出表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、国有资本经营预算支出表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、财政专户管理资金预算支出表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、专项资金预算汇总表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、项目支出绩效目标表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、部门整体支出绩效目标表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color w:val="FF0000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FF0000"/>
                <w:sz w:val="32"/>
                <w:szCs w:val="32"/>
              </w:rPr>
              <w:t>注：以上部门预算公开报表中，空表表示本部门无相关收支情况。</w:t>
            </w:r>
          </w:p>
        </w:tc>
      </w:tr>
    </w:tbl>
    <w:p/>
    <w:sectPr>
      <w:pgSz w:w="18708" w:h="15840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ialog">
    <w:altName w:val="Nimbus Roman No9 L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true"/>
  <w:drawingGridHorizontalOrigin w:val="1800"/>
  <w:drawingGridVerticalOrigin w:val="1440"/>
  <w:doNotShadeFormData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9F"/>
    <w:rsid w:val="00092F9F"/>
    <w:rsid w:val="DBB7EEB2"/>
    <w:rsid w:val="E7B31A25"/>
    <w:rsid w:val="FF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"/>
    <w:pPr>
      <w:outlineLvl w:val="0"/>
    </w:pPr>
    <w:rPr>
      <w:b/>
      <w:bCs/>
      <w:sz w:val="32"/>
      <w:szCs w:val="32"/>
    </w:rPr>
  </w:style>
  <w:style w:type="paragraph" w:styleId="4">
    <w:name w:val="heading 2"/>
    <w:basedOn w:val="1"/>
    <w:next w:val="1"/>
    <w:link w:val="11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5">
    <w:name w:val="heading 3"/>
    <w:basedOn w:val="1"/>
    <w:next w:val="1"/>
    <w:link w:val="12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Char"/>
    <w:basedOn w:val="9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Char"/>
    <w:basedOn w:val="9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3 Char"/>
    <w:basedOn w:val="9"/>
    <w:link w:val="5"/>
    <w:semiHidden/>
    <w:qFormat/>
    <w:uiPriority w:val="9"/>
    <w:rPr>
      <w:b/>
      <w:bCs/>
      <w:sz w:val="32"/>
      <w:szCs w:val="32"/>
    </w:rPr>
  </w:style>
  <w:style w:type="character" w:customStyle="1" w:styleId="13">
    <w:name w:val="页眉 Char"/>
    <w:basedOn w:val="9"/>
    <w:link w:val="7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4">
    <w:name w:val="页脚 Char"/>
    <w:basedOn w:val="9"/>
    <w:link w:val="6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589</Words>
  <Characters>3359</Characters>
  <Lines>27</Lines>
  <Paragraphs>7</Paragraphs>
  <TotalTime>22</TotalTime>
  <ScaleCrop>false</ScaleCrop>
  <LinksUpToDate>false</LinksUpToDate>
  <CharactersWithSpaces>3941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2026-04-14T08:47:00Z</dcterms:created>
  <dc:creator>PC</dc:creator>
  <cp:lastModifiedBy>xjkp</cp:lastModifiedBy>
  <dcterms:modified xsi:type="dcterms:W3CDTF">2026-04-20T10:24:23Z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