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附件：1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600" w:leftChars="762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直预算部门整体支出绩效自评报告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600" w:leftChars="762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（统一参考格式）   </w:t>
      </w:r>
    </w:p>
    <w:p>
      <w:pPr>
        <w:spacing w:line="640" w:lineRule="exact"/>
        <w:ind w:firstLine="627" w:firstLineChars="196"/>
        <w:rPr>
          <w:rFonts w:hint="default" w:ascii="Times New Roman" w:eastAsia="仿宋_GB2312" w:cs="Times New Roman"/>
          <w:sz w:val="32"/>
          <w:szCs w:val="32"/>
        </w:rPr>
      </w:pPr>
    </w:p>
    <w:p>
      <w:pPr>
        <w:spacing w:line="640" w:lineRule="exact"/>
        <w:ind w:firstLine="627" w:firstLineChars="196"/>
        <w:rPr>
          <w:rFonts w:hint="default" w:ascii="Times New Roman" w:eastAsia="仿宋_GB2312" w:cs="Times New Roman"/>
          <w:color w:val="000000"/>
          <w:sz w:val="32"/>
        </w:rPr>
      </w:pPr>
    </w:p>
    <w:p>
      <w:pPr>
        <w:wordWrap w:val="0"/>
        <w:spacing w:line="640" w:lineRule="exact"/>
        <w:ind w:firstLine="0" w:firstLineChars="0"/>
        <w:jc w:val="right"/>
        <w:rPr>
          <w:rFonts w:hint="default" w:ascii="Times New Roman" w:eastAsia="仿宋_GB2312" w:cs="Times New Roman"/>
          <w:sz w:val="32"/>
          <w:lang w:val="en-US" w:eastAsia="zh-CN"/>
        </w:rPr>
      </w:pPr>
      <w:r>
        <w:rPr>
          <w:rFonts w:hint="default" w:ascii="Times New Roman" w:eastAsia="仿宋_GB2312" w:cs="Times New Roman"/>
          <w:sz w:val="32"/>
        </w:rPr>
        <w:t>岳阳市财政局</w:t>
      </w:r>
      <w:r>
        <w:rPr>
          <w:rFonts w:hint="eastAsia" w:eastAsia="仿宋_GB2312" w:cs="Times New Roman"/>
          <w:sz w:val="32"/>
          <w:lang w:val="en-US" w:eastAsia="zh-CN"/>
        </w:rPr>
        <w:t xml:space="preserve">          </w:t>
      </w:r>
    </w:p>
    <w:p>
      <w:pPr>
        <w:wordWrap w:val="0"/>
        <w:spacing w:line="640" w:lineRule="exact"/>
        <w:ind w:right="0" w:firstLine="0" w:firstLineChars="0"/>
        <w:jc w:val="right"/>
        <w:rPr>
          <w:rFonts w:hint="default" w:ascii="Times New Roman" w:eastAsia="仿宋_GB2312" w:cs="Times New Roman"/>
          <w:sz w:val="32"/>
          <w:lang w:val="en-US" w:eastAsia="zh-CN"/>
        </w:rPr>
      </w:pPr>
      <w:r>
        <w:rPr>
          <w:rFonts w:hint="default" w:ascii="Times New Roman" w:eastAsia="仿宋_GB2312" w:cs="Times New Roman"/>
          <w:sz w:val="32"/>
        </w:rPr>
        <w:t xml:space="preserve">                         20</w:t>
      </w:r>
      <w:r>
        <w:rPr>
          <w:rFonts w:hint="default" w:ascii="Times New Roman" w:eastAsia="仿宋_GB2312" w:cs="Times New Roman"/>
          <w:sz w:val="32"/>
          <w:lang w:val="en-US" w:eastAsia="zh-CN"/>
        </w:rPr>
        <w:t>2</w:t>
      </w:r>
      <w:r>
        <w:rPr>
          <w:rFonts w:hint="eastAsia" w:eastAsia="仿宋_GB2312" w:cs="Times New Roman"/>
          <w:sz w:val="32"/>
          <w:lang w:val="en-US" w:eastAsia="zh-CN"/>
        </w:rPr>
        <w:t>6</w:t>
      </w:r>
      <w:r>
        <w:rPr>
          <w:rFonts w:hint="default" w:ascii="Times New Roman" w:eastAsia="仿宋_GB2312" w:cs="Times New Roman"/>
          <w:sz w:val="32"/>
        </w:rPr>
        <w:t>年</w:t>
      </w:r>
      <w:r>
        <w:rPr>
          <w:rFonts w:hint="eastAsia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eastAsia="仿宋_GB2312" w:cs="Times New Roman"/>
          <w:sz w:val="32"/>
        </w:rPr>
        <w:t>月</w:t>
      </w:r>
      <w:r>
        <w:rPr>
          <w:rFonts w:hint="eastAsia" w:eastAsia="仿宋_GB2312" w:cs="Times New Roman"/>
          <w:sz w:val="32"/>
          <w:lang w:val="en-US" w:eastAsia="zh-CN"/>
        </w:rPr>
        <w:t>30</w:t>
      </w:r>
      <w:r>
        <w:rPr>
          <w:rFonts w:hint="default" w:ascii="Times New Roman" w:eastAsia="仿宋_GB2312" w:cs="Times New Roman"/>
          <w:sz w:val="32"/>
        </w:rPr>
        <w:t>日</w:t>
      </w:r>
      <w:r>
        <w:rPr>
          <w:rFonts w:hint="eastAsia" w:eastAsia="仿宋_GB2312" w:cs="Times New Roman"/>
          <w:sz w:val="32"/>
          <w:lang w:val="en-US" w:eastAsia="zh-CN"/>
        </w:rPr>
        <w:t xml:space="preserve">        </w:t>
      </w: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rPr>
          <w:rFonts w:hint="default" w:ascii="Times New Roman" w:eastAsia="仿宋_GB2312" w:cs="Times New Roman"/>
          <w:szCs w:val="21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line="120" w:lineRule="exac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240" w:lineRule="auto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spacing w:after="0" w:afterLines="0" w:line="120" w:lineRule="exact"/>
        <w:ind w:firstLine="280" w:firstLineChars="100"/>
        <w:jc w:val="left"/>
        <w:rPr>
          <w:rFonts w:hint="default" w:ascii="Times New Roman" w:eastAsia="仿宋_GB2312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560" w:firstLineChars="200"/>
        <w:jc w:val="both"/>
        <w:textAlignment w:val="auto"/>
        <w:rPr>
          <w:rFonts w:hint="eastAsia" w:eastAsia="仿宋_GB2312" w:cs="Times New Roman"/>
          <w:sz w:val="28"/>
          <w:szCs w:val="28"/>
          <w:lang w:eastAsia="zh-CN"/>
        </w:rPr>
      </w:pPr>
      <w:r>
        <w:rPr>
          <w:rFonts w:hint="default" w:asci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eastAsia="仿宋_GB2312" w:cs="Times New Roman"/>
          <w:sz w:val="28"/>
          <w:szCs w:val="28"/>
          <w:lang w:eastAsia="zh-CN"/>
        </w:rPr>
        <w:t>市人大</w:t>
      </w:r>
      <w:r>
        <w:rPr>
          <w:rFonts w:hint="eastAsia" w:eastAsia="仿宋_GB2312" w:cs="Times New Roman"/>
          <w:sz w:val="28"/>
          <w:szCs w:val="28"/>
          <w:lang w:eastAsia="zh-CN"/>
        </w:rPr>
        <w:t>，市审计局。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560" w:firstLineChars="200"/>
        <w:jc w:val="both"/>
        <w:textAlignment w:val="auto"/>
        <w:rPr>
          <w:rFonts w:hint="eastAsia" w:eastAsia="仿宋_GB2312" w:cs="Times New Roman"/>
          <w:sz w:val="28"/>
          <w:szCs w:val="28"/>
          <w:lang w:eastAsia="zh-CN"/>
        </w:rPr>
      </w:pPr>
    </w:p>
    <w:p>
      <w:pPr>
        <w:jc w:val="both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both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spacing w:after="120" w:afterLines="50" w:line="600" w:lineRule="exact"/>
        <w:jc w:val="both"/>
        <w:rPr>
          <w:rFonts w:hint="eastAsia" w:ascii="方正小标宋简体" w:hAnsi="方正小标宋简体" w:eastAsia="黑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3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26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4.46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4.8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3.32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2.92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1.14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1371.31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  <w:t>1094.84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1094.84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1371.31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1094.84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1094.84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70.22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79.58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67.20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10.03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12.7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4.5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3.5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、严控办公经费，推进无纸化办公。2、严控“三公”经费，加强公务接待管理。3、严控差旅费，对于超标准开支不予报销。4、严控培训费，充分运用网络、视频等信息化手段开展培训。5、加强财务监督，完善内控制度。　</w:t>
            </w:r>
          </w:p>
        </w:tc>
      </w:tr>
    </w:tbl>
    <w:p>
      <w:pPr>
        <w:widowControl/>
        <w:spacing w:afterLines="0" w:line="400" w:lineRule="exact"/>
        <w:ind w:left="660" w:hanging="660" w:hangingChars="300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白梅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2026.6.30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8708336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岳阳市残疾人联合会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496.67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2584.64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2478.34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95.89%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9.59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2576.64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571.26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1907.08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为残疾人提供康复、就业、扶贫、教育、文化体育、助残宣传、维权信访等服务，切实改善残疾人生产、生活状况。　　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为残疾人提供康复、就业、扶贫、教育、文化体育、助残宣传、维权信访等服务，切实改善残疾人生产、生活状况。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完成残疾儿童康复训练；免费为残疾人配发万件辅助器具；帮助残疾人创业就业培训、居家托养、学前到大学的全方位的助学、残疾人家庭无障碍改造、扶贫等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完成省、市任务目标任务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已完成省、市任务目标任务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为残疾人提供康复、就业、扶贫、教育、文化体育、助残宣传、维权信访等服务，切实改善残疾人生产、生活状况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完成省、市残疾人康复、就业、文化体育等任务，残疾人生活有所改善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2025年底完成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2025年底已完成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部分项目跨年度拨付资金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保障机关正常运转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2584.64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2478.34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部分项目跨年度拨付资金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对经济发展情况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对社会发展情况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通过项目的实施，全社会关心、理解、支持残疾人的社会氛围明显提高。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通过项目的实施，全社会关心、理解、支持残疾人的社会氛围明显提高。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对生态发展情况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有所改善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是否可持续影响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是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受助残疾人满意度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color="auto" w:fill="FFFFFF"/>
              </w:rPr>
              <w:t>≥95%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95.89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widowControl/>
        <w:spacing w:line="600" w:lineRule="exact"/>
        <w:jc w:val="both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白梅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2026.6.30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8708336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3"/>
        <w:tblW w:w="10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残疾人就业保障金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岳阳市残疾人联合会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岳阳市残疾人联合会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2298.46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2087.97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1907.08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91.34%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2298.46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2087.97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1907.08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91.34%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1、困难残疾人家庭无障碍改造完成省重点实事任务130户；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2、残疾人托养服务1112名；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3、残疾人助学补贴应补尽补；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4、就业创业技能培训（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包含盲人按摩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）60人；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5、乡村振兴人才培育30人；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6、残疾人创业扶持20人；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7、残疾人实用技术培训（阳光增收）100人；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8、0—17岁残疾儿童康复救助项目1580人；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9、困难精神残疾人康复救助项目623人；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10、残疾人基本型辅具适配项目427人。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1、困难残疾人家庭无障碍改造完成省重点实事任务130户；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2、残疾人托养服务1112名；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3、残疾人助学补贴应补尽补2025年市辖区补贴230人）；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4、就业创业技能培训（包含盲人按摩）60人；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5、乡村振兴人才培育30人；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6、残疾人创业扶持20人；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7、残疾人实用技术培训（阳光增收）100人；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8、0—17岁残疾儿童康复救助项目 2609人；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9、可能精神残疾人康复救助项目 623人；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10、残疾人基本型辅具适配项目472 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省重点实事任务130户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 xml:space="preserve"> 15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1112人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1112人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应补尽补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2025年市辖区补贴230人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60人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60人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100人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100人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省重点民生实事残疾儿童康复救助项目任务数1580人。实际完成2609人。累计完成率165.13%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省重点民生实事残疾儿童康复救助项目任务数1580人。实际完成2609人。累计完成率165.13%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困难残疾人住院救助275人，服药救助348人。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困难残疾人住院救助275人，服药救助348人。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按需申请。有辅具适配需求的残疾人辅具适配率达到100%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各类辅具申请人数472人。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市辖区省重点民生实事任务130户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市辖区省重点民生实事任务130户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1112人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1112人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应补尽补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7"/>
                <w:kern w:val="0"/>
                <w:sz w:val="20"/>
                <w:szCs w:val="20"/>
                <w:u w:val="none"/>
                <w:lang w:val="en-US" w:eastAsia="zh-CN" w:bidi="ar"/>
              </w:rPr>
              <w:t>2025年市辖区补贴230人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30人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完成残疾人按摩技能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、创业扶持提升培训各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30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人次，培训任务按期完成，培训质量达标。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实际完成残疾人按摩技能、创业扶持提升培训各30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人次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，培训组织规范有序，培训成效良好，达到预期目标。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扶持残疾人创业20人，成效达标。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完成残疾人创业扶持20人，效果良好。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开展残疾人实用技术培训 100 人次，培训任务按期完成，培训效果达标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完成残疾人实用技术培训 100 人次，培训组织规范，参训效果良好，达到预期质量目标。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省实事任务1580人。实际完成2609人。平均在训时长超过7个月，家长满意度超过90%，康复有效率超过85%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省实事任务1580人。实际完成2609人。平均在训时长超过7个月，家长满意度超过90%，康复有效率超过85%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困难残疾人住院救助275人，服药救助348人。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困难残疾人住院救助275人，服药救助348人。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按需申请。有辅具适配需求的残疾人辅具适配率达到100%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各类辅具申请人数472人。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2025年12月底完成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2025年4月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2025年6月完成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2025年10月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0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2025年11月完成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2025年9月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  <w:t>2025年11月完成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2025年度完成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2025年完成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 市辖区残联承接省重点民生实事类任务指标130户，市本级配套1500元/户，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19.5万元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市辖区居家（550人）、日间照料（130人）、寄宿型（152人）省任务托养任务市本级分别按每人700/3500/4500予以补贴，居家托养自筹任务（280人）市本级按1000元/人补贴市辖区托养对象补贴，以上市本级补贴合计180.4万元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市本级补贴市辖区1112名残疾人托养合计180.4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万元。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市辖区高中及以上阶段残疾人学生及困难残疾人家庭子女教育资助，共计20万元。高中阶段：残疾学生1400元/学年、困难残疾人家庭子女1000元/学年；大学及以上阶段一次性补贴：大专4000元、本科5000元、硕士及以上6000元、困难残疾人家庭子女3000元。市区各承担一半，据实报销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>资助市辖区230名高中及以上阶段残疾人学生及困难残疾人家庭子女，市本级配套20万元。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30个乡村振兴残疾人人才培养任务，省级配套1000元/人，本级配套2000元/人。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w w:val="95"/>
                <w:kern w:val="0"/>
                <w:sz w:val="20"/>
                <w:szCs w:val="20"/>
                <w:highlight w:val="none"/>
                <w:lang w:val="en-US" w:eastAsia="zh-CN" w:bidi="ar-SA"/>
              </w:rPr>
              <w:t>组织30名乡村振兴残疾人典型代表开展提升培训，市本级支出4.825万元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3"/>
                <w:kern w:val="0"/>
                <w:sz w:val="20"/>
                <w:szCs w:val="20"/>
                <w:highlight w:val="none"/>
                <w:lang w:val="en-US" w:eastAsia="zh-CN" w:bidi="ar-SA"/>
              </w:rPr>
              <w:t xml:space="preserve">。 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14.2万元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13.18万元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救助标准：0—6岁1500元每人每月；7—17岁的8000元每人每月。资金分担（因素分配法）：0—6岁，中央省级一起承担66%，余下的34%，县级对象县级全额承担，市辖区对象按市区5：5承担。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按实际康复训练对象及时长拨付，市本级共承担232.6万元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医保报销后，补贴个人承担部分。困难残疾人住院4000元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人。服药1000元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人。按市区5:5的比例按实结算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住院275人，市本级承担55万元，服药  348人，市本级承担17.4万元。共计承担72.4万元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有辅具适配需求的持证残疾人根据《湖南省残疾人辅具适配补贴目录》的名录和标准进行补贴。市区按3：7的比例分担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有472名残疾人通过“湖南省残疾人互联网+康复综合管理与服务平台”申请辅具594件，补贴金额628672元。市区按3：7的比例分担，市本级支出188602元。</w:t>
            </w: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切实减轻了残疾人家庭经济负担，经济效益良好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体现党和政府对残疾人的关心和照顾，社会认可度95%以上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通过项目的实施，全社会关心、理解、支持残疾人的社会氛围明显提高。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所有指标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无负面影响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无负面影响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所有指标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实现可持续发展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实现可持续发展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困难残疾人家庭无障碍改造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受助残疾人满意度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eastAsia="zh-CN"/>
              </w:rPr>
              <w:t>受助残疾人满意度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  <w:t>95%以上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残疾人托养服务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残疾人助学补贴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乡村振兴人才培育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就业创业技能培训（包含盲人按摩）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残疾人创业扶持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残疾人实用技术培训（阳光增收）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0—17岁残疾儿童康复救助项目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困难精神残疾人康复救助项目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残疾人基本型辅具适配项目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</w:t>
      </w:r>
      <w:r>
        <w:rPr>
          <w:rFonts w:hint="eastAsia" w:eastAsia="仿宋_GB2312" w:cs="Times New Roman"/>
          <w:sz w:val="22"/>
          <w:highlight w:val="none"/>
          <w:lang w:eastAsia="zh-CN"/>
        </w:rPr>
        <w:t>白梅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填报日期：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 xml:space="preserve">2026.6.30  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联系电话：</w:t>
      </w:r>
      <w:r>
        <w:rPr>
          <w:rFonts w:hint="eastAsia" w:eastAsia="仿宋_GB2312" w:cs="Times New Roman"/>
          <w:sz w:val="22"/>
          <w:highlight w:val="none"/>
          <w:lang w:val="en-US" w:eastAsia="zh-CN"/>
        </w:rPr>
        <w:t>8708336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t xml:space="preserve">   单位负责人签字：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岳阳市残疾人联合会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部门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岳阳市残疾人联合会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年我会有编制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人，实有在职在编人员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人，退休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人。内部机构包括4个科室、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个中心。我</w:t>
      </w: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单位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从事的工作包括残疾人康复、就业扶贫、教育、文化体育、助残宣传、维权信访、基层组织建设等等，工作内容涉及残疾人</w:t>
      </w: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生产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生活中的点点滴滴，汇聚了卫生、教育、民政、住建、体育、文化等诸多部门的职能。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我单位有以下8项主要职责</w:t>
      </w:r>
      <w:r>
        <w:rPr>
          <w:rFonts w:hint="eastAsia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听取残疾人意见，反映残疾人需求，维护残疾人权益，为残疾人服务。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团结教育残疾人遵守法律，履行应尽的义务，发扬乐观进取精神，自尊、自信、自强、自立，为社会主义建设贡献力量。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弘扬人道主义精神，宣传残疾人事业，沟通政府、社会与残疾人之间的联系。动员社会理解、尊重、关心、帮助残疾人。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开展残疾人康复、教育、劳动就业、扶贫、文化、体育、辅助器具供应、福利、社会服务、无障碍设施和残疾预防工作，创造良好的环境和条件，扶助残疾人平等参与社会生活。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协助政府研究、制定和实施残疾人事业的规划和计划，对有关业务进行指导和管理。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承担市政府残疾人工作委员会的日常工作，做好综合、组织、协调和服务。指导和管理各类残疾人社团组织。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开展残疾人事业的交流与合作。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fill="FFFFFF"/>
        </w:rPr>
        <w:t>承办市委、市政府交办的其他事项。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本年基本支出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571.26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万元；其中工资福利支出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504.06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万元，主要用于发放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在职人员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工资及津补贴；公用支出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67.20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万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2025年本单位项目支出主要为残疾人就业保障金专项资金1094.84万元，主要为残疾人康复项目、残疾人就业扶贫项目、残疾人文化体育项目、其他残疾人事业等项目。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 xml:space="preserve">   2025</w:t>
      </w:r>
      <w:r>
        <w:rPr>
          <w:rFonts w:hint="eastAsia" w:eastAsia="仿宋" w:cs="仿宋"/>
          <w:sz w:val="32"/>
          <w:szCs w:val="32"/>
          <w:lang w:val="en-US" w:eastAsia="zh-CN"/>
        </w:rPr>
        <w:t>年本单位政府性基金支出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-SA"/>
        </w:rPr>
        <w:t>8</w:t>
      </w:r>
      <w:r>
        <w:rPr>
          <w:rFonts w:hint="eastAsia" w:eastAsia="仿宋" w:cs="仿宋"/>
          <w:sz w:val="32"/>
          <w:szCs w:val="32"/>
          <w:lang w:val="en-US" w:eastAsia="zh-CN"/>
        </w:rPr>
        <w:t>万元，主要为上级彩票公益金项目扶持残疾人文体项目和福彩分成。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无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eastAsia="仿宋" w:cs="仿宋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，根据单位年初工作规划和重点工作，围绕市委、市政府的工作部署，积极履行职责，强化管理，较好地完成了年度工作目标，同时加强预算收支的管理，建立健全内部管理制度，严格内部管理流程，单位整体支出管理得到了提升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年度单位整体支出绩效情况如下：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1.本年预算配置控制较好，财政供养人员控制在预算编制以内，实际在职人员未超过编制数。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2.预算执行方面，支出总额控制在预算总额以内，基本支出中财政政策性工资有所追加，本年部门预算未进行预算相关事项的调整。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3.预算管理方面，制定了切实有效的内部财务、资产管理制度，执行总体较为有效。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一是预算编制有待更严格执行。预算编制与实际支出科目有的存在差异。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二是指标下发应更及时。由于结余回收，指标不及时下发导致账目上显示结余过多，实际是由于时间下达太晚许多商家还没结账，账目显示情况与实际情况不符。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三是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残疾人事业项目预算经费</w:t>
      </w:r>
      <w:r>
        <w:rPr>
          <w:rFonts w:hint="eastAsia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不足。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资金是贯彻落实习近平总书记提出的“全面建成小康社会，残疾人一个也不能少”重要指示和巩固拓展残疾人脱贫攻坚成果的重要保障，在残疾人事业高质量发展中发挥着重要支撑作用。关乎残疾人事业高质量发展，但纳入预算与残疾人的迫切需求还存在较大差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八、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  <w:t>下一步改进措施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（一）转变观念，切实履行执行主体责任。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要切实提高政治站位，切实履行主体责任，提高对项目资金的认识，特别是要认识到加快项目资金执行进度关乎残疾人民生，关乎残疾人事业高质量发展，结合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党纪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学习教育“我为群众办实事”同步推进。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2" w:firstLineChars="20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（二）采取有效措施，加快项目资金支出进度。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是改进支付方式。针对事后结算的项目，通过“预付+结算”方式，并对信誉好的单位提高预付比例，同时加快结算频次，实施按月结算，提高结算进度。二是提前启动项目。做好启动项目准备，细化实施方案，筛查服务对象，履行政府采购报批手续，做好前期准备工作，做到来年开账就可以直接实施，确保各月支出进度均衡并达到序时进度；三是重视绩效管理，加强绩效管理，定期开展绩效自评，全面查摆偏离目标、进度滞后的原因，并有效整改，对于本级无法解决的情况，及时向上级业务部门报告，争取及时解决问题，确保绩效目标完成。四是加强沟通协同，加强与地方财政部门沟通，及时掌握资金到位和执行情况，同时与业务部门密切配合，共同推进项目执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（三）注重资金安全，确保资金使用效益。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0"/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在加快执行支出进度的同时，还要坚持资金使用的安全性、规范性和有效性并重的原则，重点关注投向是否精准、用途是否合规，及时发现并纠正存在的问题，杜绝不讲效益的“突击花钱”和各种违反财经法规、财务制度的行为，确保资金安全运行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部门整体支出绩效自评结果拟应用和公开情况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经审查后，拟在政府门户网站同步公开。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无</w:t>
      </w:r>
    </w:p>
    <w:p/>
    <w:p/>
    <w:p>
      <w:pPr>
        <w:spacing w:after="0" w:afterLines="0" w:line="240" w:lineRule="auto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after="0" w:afterLines="0" w:line="240" w:lineRule="auto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after="0" w:afterLines="0" w:line="240" w:lineRule="auto"/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after="0" w:afterLines="0" w:line="240" w:lineRule="auto"/>
        <w:jc w:val="lef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FD9F6"/>
    <w:multiLevelType w:val="singleLevel"/>
    <w:tmpl w:val="91DFD9F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0967C77"/>
    <w:multiLevelType w:val="singleLevel"/>
    <w:tmpl w:val="C0967C7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7F4CD14"/>
    <w:multiLevelType w:val="singleLevel"/>
    <w:tmpl w:val="D7F4CD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68E6"/>
    <w:rsid w:val="09280533"/>
    <w:rsid w:val="0CF92DE5"/>
    <w:rsid w:val="11E84937"/>
    <w:rsid w:val="1B597354"/>
    <w:rsid w:val="1BD70FEA"/>
    <w:rsid w:val="1C6168E6"/>
    <w:rsid w:val="58167F31"/>
    <w:rsid w:val="5F7AD122"/>
    <w:rsid w:val="6BFBF74F"/>
    <w:rsid w:val="72BE2A62"/>
    <w:rsid w:val="7C4FDE07"/>
    <w:rsid w:val="BDBF0B6E"/>
    <w:rsid w:val="DF9F63A0"/>
    <w:rsid w:val="E3FD1690"/>
    <w:rsid w:val="ED8703AD"/>
    <w:rsid w:val="F36FA43F"/>
    <w:rsid w:val="FCFBA77D"/>
    <w:rsid w:val="FD60747F"/>
    <w:rsid w:val="FDBFBA82"/>
    <w:rsid w:val="FFF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2025-06-28T14:43:00Z</dcterms:created>
  <dc:creator>YXJ</dc:creator>
  <cp:lastModifiedBy>白梅</cp:lastModifiedBy>
  <dcterms:modified xsi:type="dcterms:W3CDTF">2026-06-24T15:41:33Z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413FFD1F190C453ABAE82E4661AD286E</vt:lpwstr>
  </property>
</Properties>
</file>