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977A0A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5E1FD5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</w:p>
    <w:p w14:paraId="5FFE5431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2"/>
        <w:tblW w:w="90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830"/>
        <w:gridCol w:w="900"/>
        <w:gridCol w:w="1587"/>
        <w:gridCol w:w="1129"/>
        <w:gridCol w:w="1316"/>
        <w:gridCol w:w="752"/>
        <w:gridCol w:w="762"/>
        <w:gridCol w:w="873"/>
      </w:tblGrid>
      <w:tr w14:paraId="2FD4D2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71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项目支</w:t>
            </w:r>
          </w:p>
          <w:p w14:paraId="0AC61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出名称</w:t>
            </w:r>
          </w:p>
        </w:tc>
        <w:tc>
          <w:tcPr>
            <w:tcW w:w="814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32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长江北部补水一期工程运行维护</w:t>
            </w:r>
          </w:p>
        </w:tc>
      </w:tr>
      <w:tr w14:paraId="74340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51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主管部门</w:t>
            </w:r>
          </w:p>
        </w:tc>
        <w:tc>
          <w:tcPr>
            <w:tcW w:w="4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D1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岳阳市水利局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BCAA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实施单位</w:t>
            </w:r>
          </w:p>
        </w:tc>
        <w:tc>
          <w:tcPr>
            <w:tcW w:w="23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88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岳阳市水旱灾害防御事务中心</w:t>
            </w:r>
          </w:p>
        </w:tc>
      </w:tr>
      <w:tr w14:paraId="296E6B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3BC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（万元）</w:t>
            </w: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90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FF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年初</w:t>
            </w:r>
          </w:p>
          <w:p w14:paraId="4C582F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预算数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85A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全年</w:t>
            </w:r>
          </w:p>
          <w:p w14:paraId="4F62E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预算数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5F8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  <w:t>全年</w:t>
            </w:r>
          </w:p>
          <w:p w14:paraId="2A4566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  <w:t>执行数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E002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  <w:t>分值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116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  <w:t>执行率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5F1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  <w:highlight w:val="none"/>
              </w:rPr>
              <w:t>得分</w:t>
            </w:r>
          </w:p>
        </w:tc>
      </w:tr>
      <w:tr w14:paraId="66A8CA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779CA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3E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年度资金总额　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FF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109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9F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109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0E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109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34C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20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A1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</w:tr>
      <w:tr w14:paraId="4B16C5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14BF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00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其中：当年财政拨款　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501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109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FBF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109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60B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109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A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92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43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10</w:t>
            </w:r>
          </w:p>
        </w:tc>
      </w:tr>
      <w:tr w14:paraId="7E4CA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CD25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13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上年结转资金　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BE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1A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D5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4B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32C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E5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</w:tr>
      <w:tr w14:paraId="019707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6773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17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B17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其他资金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781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6E9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0BD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C2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45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75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　</w:t>
            </w:r>
          </w:p>
        </w:tc>
      </w:tr>
      <w:tr w14:paraId="6695A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A08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年度总体目标</w:t>
            </w:r>
          </w:p>
        </w:tc>
        <w:tc>
          <w:tcPr>
            <w:tcW w:w="4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6D3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预期目标</w:t>
            </w:r>
          </w:p>
        </w:tc>
        <w:tc>
          <w:tcPr>
            <w:tcW w:w="37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442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实际完成情况　</w:t>
            </w:r>
          </w:p>
        </w:tc>
      </w:tr>
      <w:tr w14:paraId="786BD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E7669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444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48551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  <w:lang w:val="en-US" w:eastAsia="zh-CN"/>
              </w:rPr>
              <w:t>1、应急补水期间对补充水资源统一调度,合理分配，无水事纠纷;2、保障长江补水(一期)工程取水枢纽工程正常运行，全年无安全生产事故。</w:t>
            </w:r>
          </w:p>
        </w:tc>
        <w:tc>
          <w:tcPr>
            <w:tcW w:w="370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AD1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完成长江北部补水一期运行养护项目,确保取水枢纽工程正常运行,保障了农业灌溉用水及生态用水。</w:t>
            </w:r>
          </w:p>
        </w:tc>
      </w:tr>
      <w:tr w14:paraId="2AD127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A2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绩</w:t>
            </w:r>
          </w:p>
          <w:p w14:paraId="7FA5B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效</w:t>
            </w:r>
          </w:p>
          <w:p w14:paraId="23A5B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指</w:t>
            </w:r>
          </w:p>
          <w:p w14:paraId="41D8C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  <w:t>标</w:t>
            </w:r>
          </w:p>
        </w:tc>
        <w:tc>
          <w:tcPr>
            <w:tcW w:w="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E1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一级指标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772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二级指标</w:t>
            </w:r>
          </w:p>
        </w:tc>
        <w:tc>
          <w:tcPr>
            <w:tcW w:w="15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23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三级指标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3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年度</w:t>
            </w:r>
          </w:p>
          <w:p w14:paraId="4345C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指标值</w:t>
            </w:r>
          </w:p>
        </w:tc>
        <w:tc>
          <w:tcPr>
            <w:tcW w:w="13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927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实际</w:t>
            </w:r>
          </w:p>
          <w:p w14:paraId="48C67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完成值</w:t>
            </w:r>
          </w:p>
        </w:tc>
        <w:tc>
          <w:tcPr>
            <w:tcW w:w="7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B5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分值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AF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得分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EF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偏差原因分析及改进措施</w:t>
            </w:r>
          </w:p>
        </w:tc>
      </w:tr>
      <w:tr w14:paraId="452116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474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9C4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产出指标</w:t>
            </w:r>
          </w:p>
          <w:p w14:paraId="121BD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  <w:p w14:paraId="673D9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(50分)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209B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数量指标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D2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完成长江补水一期工程枢纽工程维修养护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DB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bookmarkStart w:id="0" w:name="OLE_LINK9"/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  <w:t>≥</w:t>
            </w:r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1座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1F6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1座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D98D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75A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11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tr w14:paraId="613986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F37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F2A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AF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2F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改善灌溉面积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E0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3.5万亩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22C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3.5万亩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6A3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CEF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6E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bookmarkStart w:id="1" w:name="OLE_LINK1"/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  <w:bookmarkEnd w:id="1"/>
          </w:p>
        </w:tc>
      </w:tr>
      <w:tr w14:paraId="641C4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C2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bookmarkStart w:id="2" w:name="OLE_LINK2" w:colFirst="6" w:colLast="8"/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B7C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4D402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质量指标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A7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水利工程运行管理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A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保障泵船、水闸正常运行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F0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全年未发生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事故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7A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5F0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CF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bookmarkEnd w:id="2"/>
      <w:tr w14:paraId="5E19DA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8A1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bookmarkStart w:id="3" w:name="OLE_LINK5" w:colFirst="6" w:colLast="8"/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A36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11E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6F4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枯水期补水及时率</w:t>
            </w:r>
          </w:p>
        </w:tc>
        <w:tc>
          <w:tcPr>
            <w:tcW w:w="11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81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=100%</w:t>
            </w:r>
          </w:p>
        </w:tc>
        <w:tc>
          <w:tcPr>
            <w:tcW w:w="1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70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100%</w:t>
            </w:r>
          </w:p>
        </w:tc>
        <w:tc>
          <w:tcPr>
            <w:tcW w:w="7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39A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87B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004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bookmarkStart w:id="4" w:name="OLE_LINK3"/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  <w:bookmarkEnd w:id="4"/>
          </w:p>
        </w:tc>
      </w:tr>
      <w:bookmarkEnd w:id="3"/>
      <w:tr w14:paraId="29F37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266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bookmarkStart w:id="5" w:name="OLE_LINK4" w:colFirst="6" w:colLast="8"/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C0A2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A2F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时效指标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902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任务完成时间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77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年全年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888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年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C5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F9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18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bookmarkEnd w:id="5"/>
      <w:tr w14:paraId="6C90D6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8FA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F6A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7E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成本指标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30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预算控制数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E1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≤150 万元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CE3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150万元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FD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8E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32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tr w14:paraId="5DADA0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D72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bookmarkStart w:id="6" w:name="OLE_LINK6" w:colFirst="6" w:colLast="8"/>
          </w:p>
        </w:tc>
        <w:tc>
          <w:tcPr>
            <w:tcW w:w="8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8A0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效益指标</w:t>
            </w:r>
          </w:p>
          <w:p w14:paraId="26661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  <w:p w14:paraId="02CC7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（30分）</w:t>
            </w:r>
          </w:p>
          <w:p w14:paraId="0915E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90A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经济效</w:t>
            </w:r>
          </w:p>
          <w:p w14:paraId="7E2720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益指标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0AD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促进地区经济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发展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AB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为华容县和君山区补充农业灌溉水源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C3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为华容县和君山区5个乡镇 17 个行政村补充农业灌溉水源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B6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529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72C9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bookmarkEnd w:id="6"/>
      <w:tr w14:paraId="1E4B7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FD8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bookmarkStart w:id="7" w:name="OLE_LINK7" w:colFirst="6" w:colLast="8"/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AE3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CB4F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社会效</w:t>
            </w:r>
          </w:p>
          <w:p w14:paraId="49CB8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益指标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85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保障区域内农业灌溉用水及生态用水。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FA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枯水期对华洪运河、华容河补充水资源。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D9D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统一调度、合理分配水资源，无水事纠纷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  <w:t>。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68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9BB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2DC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bookmarkEnd w:id="7"/>
      <w:tr w14:paraId="0BDE63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820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  <w:bookmarkStart w:id="8" w:name="OLE_LINK8" w:colFirst="6" w:colLast="8"/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9A2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CE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生态效</w:t>
            </w:r>
          </w:p>
          <w:p w14:paraId="74DE2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益指标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156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改善河湖水质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84A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枯水期为华洪运河、华容河进行生态补水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  <w:t>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A8E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水质监测环保达标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38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F23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E5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bookmarkEnd w:id="8"/>
      <w:tr w14:paraId="0A95FE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11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8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F6E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F0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可持续影响指标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B6D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改善垸内水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环境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059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为区域内农业灌溉用水及生态用水提供补充水源。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B5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补水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8732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万立方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3C29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028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19D8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tr w14:paraId="31F1A8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90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761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6"/>
                <w:szCs w:val="16"/>
                <w:highlight w:val="none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63E16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满意度</w:t>
            </w:r>
          </w:p>
          <w:p w14:paraId="78E9E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指标</w:t>
            </w:r>
          </w:p>
          <w:p w14:paraId="0A551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（10分）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C5E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服务对象满意度指标</w:t>
            </w:r>
          </w:p>
        </w:tc>
        <w:tc>
          <w:tcPr>
            <w:tcW w:w="15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EB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受益区域人民群众满意度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17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eastAsia="zh-CN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98%</w:t>
            </w: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78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100%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3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75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C69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无偏差</w:t>
            </w:r>
          </w:p>
        </w:tc>
      </w:tr>
      <w:tr w14:paraId="3205BF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6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4D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总分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461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100</w:t>
            </w:r>
          </w:p>
        </w:tc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A12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  <w:lang w:val="en-US" w:eastAsia="zh-CN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107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15"/>
                <w:szCs w:val="15"/>
                <w:highlight w:val="none"/>
              </w:rPr>
              <w:t>　</w:t>
            </w:r>
          </w:p>
        </w:tc>
      </w:tr>
    </w:tbl>
    <w:p w14:paraId="75D7CC0B">
      <w:pPr>
        <w:rPr>
          <w:rFonts w:hint="eastAsia" w:ascii="Times New Roman" w:hAnsi="Times New Roman" w:eastAsia="仿宋_GB2312" w:cs="Times New Roman"/>
          <w:sz w:val="15"/>
          <w:szCs w:val="15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15"/>
          <w:szCs w:val="15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5"/>
          <w:szCs w:val="15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5"/>
          <w:szCs w:val="15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5"/>
          <w:szCs w:val="15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5"/>
          <w:szCs w:val="15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5"/>
          <w:szCs w:val="15"/>
          <w:highlight w:val="none"/>
          <w:lang w:eastAsia="zh-CN"/>
        </w:rPr>
        <w:t>，其他事业发展类资金…各一张表。</w:t>
      </w:r>
    </w:p>
    <w:p w14:paraId="3698D5B5">
      <w:r>
        <w:rPr>
          <w:rFonts w:hint="default" w:ascii="Times New Roman" w:hAnsi="Times New Roman" w:eastAsia="仿宋_GB2312" w:cs="Times New Roman"/>
          <w:sz w:val="20"/>
          <w:szCs w:val="20"/>
          <w:highlight w:val="none"/>
        </w:rPr>
        <w:t>填表人：</w:t>
      </w:r>
      <w:r>
        <w:rPr>
          <w:rFonts w:hint="eastAsia" w:eastAsia="仿宋_GB2312" w:cs="Times New Roman"/>
          <w:sz w:val="20"/>
          <w:szCs w:val="20"/>
          <w:highlight w:val="none"/>
          <w:lang w:eastAsia="zh-CN"/>
        </w:rPr>
        <w:t>姚浩</w:t>
      </w:r>
      <w:r>
        <w:rPr>
          <w:rFonts w:hint="default" w:ascii="Times New Roman" w:hAnsi="Times New Roman" w:eastAsia="仿宋_GB2312" w:cs="Times New Roman"/>
          <w:sz w:val="20"/>
          <w:szCs w:val="20"/>
          <w:highlight w:val="none"/>
        </w:rPr>
        <w:t xml:space="preserve">   填报日期：</w:t>
      </w:r>
      <w:r>
        <w:rPr>
          <w:rFonts w:hint="eastAsia" w:eastAsia="仿宋_GB2312" w:cs="Times New Roman"/>
          <w:sz w:val="20"/>
          <w:szCs w:val="20"/>
          <w:highlight w:val="none"/>
          <w:lang w:val="en-US" w:eastAsia="zh-CN"/>
        </w:rPr>
        <w:t>2026年3月5日</w:t>
      </w:r>
      <w:r>
        <w:rPr>
          <w:rFonts w:hint="eastAsia" w:ascii="Times New Roman" w:hAnsi="Times New Roman" w:eastAsia="仿宋_GB2312" w:cs="Times New Roman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0"/>
          <w:szCs w:val="20"/>
          <w:highlight w:val="none"/>
        </w:rPr>
        <w:t>联系电</w:t>
      </w:r>
      <w:bookmarkStart w:id="9" w:name="_GoBack"/>
      <w:bookmarkEnd w:id="9"/>
      <w:r>
        <w:rPr>
          <w:rFonts w:hint="default" w:ascii="Times New Roman" w:hAnsi="Times New Roman" w:eastAsia="仿宋_GB2312" w:cs="Times New Roman"/>
          <w:sz w:val="20"/>
          <w:szCs w:val="20"/>
          <w:highlight w:val="none"/>
        </w:rPr>
        <w:t>话：</w:t>
      </w:r>
      <w:r>
        <w:rPr>
          <w:rFonts w:hint="eastAsia" w:eastAsia="仿宋_GB2312" w:cs="Times New Roman"/>
          <w:sz w:val="20"/>
          <w:szCs w:val="20"/>
          <w:highlight w:val="none"/>
          <w:lang w:val="en-US" w:eastAsia="zh-CN"/>
        </w:rPr>
        <w:t>8092294</w:t>
      </w:r>
      <w:r>
        <w:rPr>
          <w:rFonts w:hint="eastAsia" w:ascii="Times New Roman" w:hAnsi="Times New Roman" w:eastAsia="仿宋_GB2312" w:cs="Times New Roman"/>
          <w:sz w:val="20"/>
          <w:szCs w:val="20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sz w:val="20"/>
          <w:szCs w:val="20"/>
          <w:highlight w:val="none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D609A"/>
    <w:rsid w:val="06841725"/>
    <w:rsid w:val="09497AE8"/>
    <w:rsid w:val="0A03572A"/>
    <w:rsid w:val="0CCF21D6"/>
    <w:rsid w:val="1E996BC3"/>
    <w:rsid w:val="29F47B99"/>
    <w:rsid w:val="2B4E3C0D"/>
    <w:rsid w:val="2FAA68E1"/>
    <w:rsid w:val="422A2270"/>
    <w:rsid w:val="4AC35FCD"/>
    <w:rsid w:val="56267BE4"/>
    <w:rsid w:val="5F960A3F"/>
    <w:rsid w:val="5F985ED5"/>
    <w:rsid w:val="6037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786</Words>
  <Characters>898</Characters>
  <Lines>0</Lines>
  <Paragraphs>0</Paragraphs>
  <TotalTime>3</TotalTime>
  <ScaleCrop>false</ScaleCrop>
  <LinksUpToDate>false</LinksUpToDate>
  <CharactersWithSpaces>927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2025-05-26T03:03:00Z</dcterms:created>
  <dc:creator>lenovo</dc:creator>
  <cp:lastModifiedBy>胖子¹⁴¹³¹⁹</cp:lastModifiedBy>
  <dcterms:modified xsi:type="dcterms:W3CDTF">2026-03-05T08:34:47Z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AC6F9CD1DCAE4D34896C250D7D554120</vt:lpwstr>
  </property>
  <property fmtid="{D5CDD505-2E9C-101B-9397-08002B2CF9AE}" pid="4" name="KSOTemplateDocerSaveRecord">
    <vt:lpwstr>eyJoZGlkIjoiNTRmNDk2ZTAyYjA0OTZmOWMyZWI2Y2E5NWM5YTczMDYiLCJ1c2VySWQiOiI1Mzg0NTc0NDAifQ==</vt:lpwstr>
  </property>
</Properties>
</file>