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0" w:afterLines="0" w:line="400" w:lineRule="exact"/>
        <w:jc w:val="left"/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附件</w:t>
      </w:r>
      <w:r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  <w:t>2</w:t>
      </w:r>
    </w:p>
    <w:p>
      <w:pPr>
        <w:widowControl/>
        <w:spacing w:after="0" w:afterLines="0" w:line="400" w:lineRule="exact"/>
        <w:jc w:val="left"/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</w:pPr>
    </w:p>
    <w:p>
      <w:pPr>
        <w:widowControl/>
        <w:spacing w:after="120" w:afterLines="50"/>
        <w:jc w:val="center"/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highlight w:val="none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highlight w:val="none"/>
        </w:rPr>
        <w:t>202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highlight w:val="none"/>
          <w:lang w:val="en-US" w:eastAsia="zh-CN"/>
        </w:rPr>
        <w:t>5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highlight w:val="none"/>
        </w:rPr>
        <w:t>年度部门整体支出绩效自评表</w:t>
      </w:r>
    </w:p>
    <w:tbl>
      <w:tblPr>
        <w:tblStyle w:val="4"/>
        <w:tblW w:w="10079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080"/>
        <w:gridCol w:w="1034"/>
        <w:gridCol w:w="1270"/>
        <w:gridCol w:w="1311"/>
        <w:gridCol w:w="1269"/>
        <w:gridCol w:w="716"/>
        <w:gridCol w:w="873"/>
        <w:gridCol w:w="144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市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级预算部门名称</w:t>
            </w:r>
          </w:p>
        </w:tc>
        <w:tc>
          <w:tcPr>
            <w:tcW w:w="8999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岳阳市农业农村局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年度预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算申请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（万元）</w:t>
            </w:r>
          </w:p>
        </w:tc>
        <w:tc>
          <w:tcPr>
            <w:tcW w:w="2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年初预算数</w:t>
            </w:r>
          </w:p>
        </w:tc>
        <w:tc>
          <w:tcPr>
            <w:tcW w:w="13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全年预算数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全年执行数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分值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执行率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2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年度资金总额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2736.33</w:t>
            </w:r>
          </w:p>
        </w:tc>
        <w:tc>
          <w:tcPr>
            <w:tcW w:w="13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5367.81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4638.21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86.41%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8.64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4695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按收入性质分：</w:t>
            </w:r>
          </w:p>
        </w:tc>
        <w:tc>
          <w:tcPr>
            <w:tcW w:w="4304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按支出性质分：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4695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 xml:space="preserve">  其中：  一般公共预算：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5367.51</w:t>
            </w:r>
          </w:p>
        </w:tc>
        <w:tc>
          <w:tcPr>
            <w:tcW w:w="4304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其中：基本支出：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3127.65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4695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ind w:firstLine="800" w:firstLineChars="400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政府性基金拨款：</w:t>
            </w:r>
          </w:p>
        </w:tc>
        <w:tc>
          <w:tcPr>
            <w:tcW w:w="4304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ind w:firstLine="600" w:firstLineChars="300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项目支出：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1510.56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4695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纳入专户管理的非税收入拨款：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1.42</w:t>
            </w:r>
          </w:p>
        </w:tc>
        <w:tc>
          <w:tcPr>
            <w:tcW w:w="4304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4695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ind w:firstLine="1400" w:firstLineChars="700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其他资金：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4.87</w:t>
            </w:r>
          </w:p>
        </w:tc>
        <w:tc>
          <w:tcPr>
            <w:tcW w:w="4304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年度总体目标</w:t>
            </w:r>
          </w:p>
        </w:tc>
        <w:tc>
          <w:tcPr>
            <w:tcW w:w="469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预期目标</w:t>
            </w:r>
          </w:p>
        </w:tc>
        <w:tc>
          <w:tcPr>
            <w:tcW w:w="4304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实际完成情况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469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2025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年，岳阳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市深入学习贯彻习近平总书记关于“三农”工作的重要论述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和重要指示批示精神，认真落实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中央、省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有关“三农”决策部署，学习运用“千万工程”经验，大力实施“五千工程”，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切实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推进乡村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全面振兴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各项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重点工作，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取得阶段性成效。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1.主宗农产品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保障有力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。2.脱贫攻坚成果持续巩固。3.乡村产业向新提质。4.和美乡村加快创建。5.农村改革持续深化。</w:t>
            </w:r>
          </w:p>
        </w:tc>
        <w:tc>
          <w:tcPr>
            <w:tcW w:w="4304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0"/>
                <w:szCs w:val="20"/>
                <w:highlight w:val="none"/>
                <w:lang w:val="en-US" w:eastAsia="zh-CN"/>
              </w:rPr>
              <w:t>1.主宗农产品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0"/>
                <w:szCs w:val="20"/>
                <w:highlight w:val="none"/>
                <w:lang w:eastAsia="zh-CN"/>
              </w:rPr>
              <w:t>保障有力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0"/>
                <w:szCs w:val="20"/>
                <w:highlight w:val="none"/>
                <w:lang w:val="en-US" w:eastAsia="zh-CN"/>
              </w:rPr>
              <w:t>。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岳阳市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完成粮食播种面积729.1万亩、同比略增，产量60.99亿斤、增长3100万斤，单产418.3公斤/亩、提升2.2公斤/亩，实现面积总产单产“三增”，面积和产量均创历史新高；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其中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早稻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单产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增长2.5%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、居全省第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。市农科院获评国家水稻新品种展示评价基地。推广低镉水稻品种28.1万亩，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建设高标准农田31.1万亩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。主要“菜篮子”产品产量稳步增长，生猪出栏增长2.5%、水产品产量增长4.7%、家禽出笼增长1.8%、禽蛋产量增长10.6%，获评国家级非洲猪瘟无疫小区1个、供港澳蔬菜种植基地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1个、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省级绿色优质农产品生产基地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13个，农产品质量安全省级例行监测总体合格率达98.8%。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0"/>
                <w:szCs w:val="20"/>
                <w:highlight w:val="none"/>
                <w:lang w:eastAsia="zh-CN"/>
              </w:rPr>
              <w:t>2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0"/>
                <w:szCs w:val="20"/>
                <w:highlight w:val="none"/>
                <w:lang w:val="en-US" w:eastAsia="zh-CN"/>
              </w:rPr>
              <w:t>.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0"/>
                <w:szCs w:val="20"/>
                <w:highlight w:val="none"/>
                <w:lang w:eastAsia="zh-CN"/>
              </w:rPr>
              <w:t>脱贫攻坚成果持续巩固。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多措并举促进农民增收，全市农村居民人均可支配收入增速5.6%，高于城镇居民增速1.7个百分点。全市累计识别监测对象12491户36408人，户均享受帮扶措施4.98条，稳定消除风险8293户24158人，风险消除率达66.4%。脱贫劳动力和监测对象务工总量12万人，超省定任务2.7%；累计开发公益性岗位1.3万个，建成乡村车间数量328个；对外出务工脱贫人口全覆盖落实交通补贴；脱贫人口、监测对象医保参保率、家庭医生签约率、农村自来水普及率达到100%，完成危房改造对象764户。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0"/>
                <w:szCs w:val="20"/>
                <w:highlight w:val="none"/>
                <w:lang w:eastAsia="zh-CN"/>
              </w:rPr>
              <w:t>3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0"/>
                <w:szCs w:val="20"/>
                <w:highlight w:val="none"/>
                <w:lang w:val="en-US" w:eastAsia="zh-CN"/>
              </w:rPr>
              <w:t>.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0"/>
                <w:szCs w:val="20"/>
                <w:highlight w:val="none"/>
                <w:lang w:eastAsia="zh-CN"/>
              </w:rPr>
              <w:t>乡村产业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0"/>
                <w:szCs w:val="20"/>
                <w:highlight w:val="none"/>
                <w:lang w:val="en-US" w:eastAsia="zh-CN"/>
              </w:rPr>
              <w:t>向新提质。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全市全口径争资争项31.7亿元、增长2.7%。入选中部百强县3个，获评全省县域经济先进县2个、返乡创业典型县1个。全市规模以上农产品加工企业972家、居全省第1，现代农业及食品加工产业总产值2179亿元、减少4.3%。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0"/>
                <w:szCs w:val="20"/>
                <w:highlight w:val="none"/>
                <w:lang w:eastAsia="zh-CN"/>
              </w:rPr>
              <w:t>4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0"/>
                <w:szCs w:val="20"/>
                <w:highlight w:val="none"/>
                <w:lang w:val="en-US" w:eastAsia="zh-CN"/>
              </w:rPr>
              <w:t>.和美乡村加快创建。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创建省级美丽乡村7个。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" w:eastAsia="zh-CN"/>
              </w:rPr>
              <w:t>新建农村户厕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974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" w:eastAsia="zh-CN"/>
              </w:rPr>
              <w:t>座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、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" w:eastAsia="zh-CN"/>
              </w:rPr>
              <w:t>公厕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" w:eastAsia="zh-CN"/>
              </w:rPr>
              <w:t>座，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行政村卫生厕所普及率达到98.6%；完成农村生活污水治理行政村851个，治理率达到54.4%；规模化供水工程覆盖农村人口比例达到81.2%；完成农村公路提质改造169.5公里、危桥改造136座；建成乡镇标准化寄宿制学校21所，完成县域高中标准化建设10所；2587个村卫生室基本药物配备均达到40种以上。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0"/>
                <w:szCs w:val="20"/>
                <w:highlight w:val="none"/>
                <w:lang w:val="en-US" w:eastAsia="zh-CN"/>
              </w:rPr>
              <w:t>5.农村改革持续深化。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成功引进安徽农垦集团等头部企业，加快打造团洲垸粮食生产和高效农业的示范样板。争取中央秸秆综合利用重点县3个，与华能长江（湖南）环保科技运营有限公司签订60万吨秸秆掺烧合作框架协议，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全市秸秆综合利用率达到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95.4%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。稳步推进二轮土地承包延包试点，农业农村部网签系统导入率104%、网签率101.4%、均超额完成任务。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绩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效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指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标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一级指标</w:t>
            </w:r>
          </w:p>
        </w:tc>
        <w:tc>
          <w:tcPr>
            <w:tcW w:w="1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二级指标</w:t>
            </w:r>
          </w:p>
        </w:tc>
        <w:tc>
          <w:tcPr>
            <w:tcW w:w="1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三级指标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both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年度指标值</w:t>
            </w:r>
          </w:p>
        </w:tc>
        <w:tc>
          <w:tcPr>
            <w:tcW w:w="1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实际完成值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分值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得分</w:t>
            </w:r>
          </w:p>
        </w:tc>
        <w:tc>
          <w:tcPr>
            <w:tcW w:w="1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both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产出指标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(50分)</w:t>
            </w:r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数量指标</w:t>
            </w:r>
          </w:p>
        </w:tc>
        <w:tc>
          <w:tcPr>
            <w:tcW w:w="1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粮食播种面积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729.1万亩</w:t>
            </w:r>
          </w:p>
        </w:tc>
        <w:tc>
          <w:tcPr>
            <w:tcW w:w="1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729.1万亩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1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建设高标准农田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31.1万亩</w:t>
            </w:r>
          </w:p>
        </w:tc>
        <w:tc>
          <w:tcPr>
            <w:tcW w:w="1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31.1万亩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1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建立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省级绿色优质农产品生产基地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13个</w:t>
            </w:r>
          </w:p>
        </w:tc>
        <w:tc>
          <w:tcPr>
            <w:tcW w:w="1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13个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1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质量指标</w:t>
            </w:r>
          </w:p>
        </w:tc>
        <w:tc>
          <w:tcPr>
            <w:tcW w:w="1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农产品质量安全合格率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98.8%</w:t>
            </w:r>
          </w:p>
        </w:tc>
        <w:tc>
          <w:tcPr>
            <w:tcW w:w="1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98.8%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1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时效指标</w:t>
            </w:r>
          </w:p>
        </w:tc>
        <w:tc>
          <w:tcPr>
            <w:tcW w:w="1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及时完成项目计划任务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按期完成目标</w:t>
            </w:r>
          </w:p>
        </w:tc>
        <w:tc>
          <w:tcPr>
            <w:tcW w:w="1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按期完成目标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1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成本指标</w:t>
            </w:r>
          </w:p>
        </w:tc>
        <w:tc>
          <w:tcPr>
            <w:tcW w:w="1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合理使用项目资金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控制在批复预算内</w:t>
            </w:r>
          </w:p>
        </w:tc>
        <w:tc>
          <w:tcPr>
            <w:tcW w:w="1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控制在批复预算内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1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效益指标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（30分）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经济效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益指标</w:t>
            </w:r>
          </w:p>
        </w:tc>
        <w:tc>
          <w:tcPr>
            <w:tcW w:w="1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现代农业及食品加工产业总产值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2179亿元</w:t>
            </w:r>
          </w:p>
        </w:tc>
        <w:tc>
          <w:tcPr>
            <w:tcW w:w="1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2179亿元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1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全口径争资争项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31.7亿元</w:t>
            </w:r>
          </w:p>
        </w:tc>
        <w:tc>
          <w:tcPr>
            <w:tcW w:w="1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31.7亿元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1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社会效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益指标</w:t>
            </w:r>
          </w:p>
        </w:tc>
        <w:tc>
          <w:tcPr>
            <w:tcW w:w="1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农业农村安全稳定发展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稳定</w:t>
            </w:r>
          </w:p>
        </w:tc>
        <w:tc>
          <w:tcPr>
            <w:tcW w:w="1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稳定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1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生态效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益指标</w:t>
            </w:r>
          </w:p>
        </w:tc>
        <w:tc>
          <w:tcPr>
            <w:tcW w:w="1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和美乡村建设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取得成效并进一步巩固</w:t>
            </w:r>
          </w:p>
        </w:tc>
        <w:tc>
          <w:tcPr>
            <w:tcW w:w="1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取得成效并进一步巩固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1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  <w:jc w:val="center"/>
        </w:trPr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可持续影响指标</w:t>
            </w:r>
          </w:p>
        </w:tc>
        <w:tc>
          <w:tcPr>
            <w:tcW w:w="1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可持续发展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可持续发展</w:t>
            </w:r>
          </w:p>
        </w:tc>
        <w:tc>
          <w:tcPr>
            <w:tcW w:w="1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可持续发展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1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指标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（10分）</w:t>
            </w:r>
          </w:p>
        </w:tc>
        <w:tc>
          <w:tcPr>
            <w:tcW w:w="1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服务对象满意度指标</w:t>
            </w:r>
          </w:p>
        </w:tc>
        <w:tc>
          <w:tcPr>
            <w:tcW w:w="1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群众满意度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95%</w:t>
            </w:r>
          </w:p>
        </w:tc>
        <w:tc>
          <w:tcPr>
            <w:tcW w:w="1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95%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1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04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总分</w:t>
            </w:r>
          </w:p>
        </w:tc>
        <w:tc>
          <w:tcPr>
            <w:tcW w:w="7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100</w:t>
            </w: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98.64</w:t>
            </w:r>
            <w:bookmarkStart w:id="0" w:name="_GoBack"/>
            <w:bookmarkEnd w:id="0"/>
          </w:p>
        </w:tc>
        <w:tc>
          <w:tcPr>
            <w:tcW w:w="14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</w:tbl>
    <w:p>
      <w:r>
        <w:rPr>
          <w:rFonts w:hint="default" w:ascii="Times New Roman" w:hAnsi="Times New Roman" w:eastAsia="仿宋_GB2312" w:cs="Times New Roman"/>
          <w:sz w:val="22"/>
          <w:szCs w:val="22"/>
          <w:highlight w:val="none"/>
        </w:rPr>
        <w:t xml:space="preserve">填表人：      填报日期：         联系电话：     </w:t>
      </w:r>
      <w:r>
        <w:rPr>
          <w:rFonts w:hint="eastAsia" w:ascii="Times New Roman" w:hAnsi="Times New Roman" w:eastAsia="仿宋_GB2312" w:cs="Times New Roman"/>
          <w:sz w:val="22"/>
          <w:szCs w:val="22"/>
          <w:highlight w:val="none"/>
          <w:lang w:val="en-US" w:eastAsia="zh-CN"/>
        </w:rPr>
        <w:t xml:space="preserve">           </w:t>
      </w:r>
      <w:r>
        <w:rPr>
          <w:rFonts w:hint="default" w:ascii="Times New Roman" w:hAnsi="Times New Roman" w:eastAsia="仿宋_GB2312" w:cs="Times New Roman"/>
          <w:sz w:val="22"/>
          <w:szCs w:val="22"/>
          <w:highlight w:val="none"/>
        </w:rPr>
        <w:t>单位负责人签字：</w:t>
      </w:r>
      <w:r>
        <w:rPr>
          <w:rFonts w:hint="default" w:ascii="Times New Roman" w:hAnsi="Times New Roman" w:eastAsia="仿宋_GB2312" w:cs="Times New Roman"/>
          <w:sz w:val="22"/>
          <w:szCs w:val="22"/>
          <w:highlight w:val="none"/>
        </w:rPr>
        <w:br w:type="page"/>
      </w: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3B8B"/>
    <w:rsid w:val="00085AA3"/>
    <w:rsid w:val="00553B8B"/>
    <w:rsid w:val="00662E14"/>
    <w:rsid w:val="007629D4"/>
    <w:rsid w:val="007F3A05"/>
    <w:rsid w:val="00E369DA"/>
    <w:rsid w:val="00F27114"/>
    <w:rsid w:val="00FC7726"/>
    <w:rsid w:val="06A34269"/>
    <w:rsid w:val="0CDF2A8F"/>
    <w:rsid w:val="0FFF9716"/>
    <w:rsid w:val="12DF6E34"/>
    <w:rsid w:val="1C7E34AC"/>
    <w:rsid w:val="1E57307B"/>
    <w:rsid w:val="1FDCCE22"/>
    <w:rsid w:val="289665EF"/>
    <w:rsid w:val="29ED6F95"/>
    <w:rsid w:val="2DBDCAF1"/>
    <w:rsid w:val="2EDF7C00"/>
    <w:rsid w:val="2F2E9634"/>
    <w:rsid w:val="2FBC4AE1"/>
    <w:rsid w:val="32B64E67"/>
    <w:rsid w:val="33470953"/>
    <w:rsid w:val="37561684"/>
    <w:rsid w:val="3AFF9CB4"/>
    <w:rsid w:val="3BC09E78"/>
    <w:rsid w:val="3F0FA769"/>
    <w:rsid w:val="3F661D87"/>
    <w:rsid w:val="3F7F894D"/>
    <w:rsid w:val="424F0F90"/>
    <w:rsid w:val="42BA0A64"/>
    <w:rsid w:val="44C24E88"/>
    <w:rsid w:val="44D91C23"/>
    <w:rsid w:val="45C92671"/>
    <w:rsid w:val="48700F39"/>
    <w:rsid w:val="4BA348AE"/>
    <w:rsid w:val="4C7700FE"/>
    <w:rsid w:val="4C9E3578"/>
    <w:rsid w:val="537BD892"/>
    <w:rsid w:val="579FBD3C"/>
    <w:rsid w:val="5E6F583A"/>
    <w:rsid w:val="5FEEB36E"/>
    <w:rsid w:val="635FA4FE"/>
    <w:rsid w:val="63D54488"/>
    <w:rsid w:val="66B5C10A"/>
    <w:rsid w:val="6ACA0915"/>
    <w:rsid w:val="6BFB7CBF"/>
    <w:rsid w:val="6EDC4317"/>
    <w:rsid w:val="6FCF75A7"/>
    <w:rsid w:val="6FD7FC7C"/>
    <w:rsid w:val="6FF0E51B"/>
    <w:rsid w:val="6FFD2B22"/>
    <w:rsid w:val="706E7A7B"/>
    <w:rsid w:val="70F95A02"/>
    <w:rsid w:val="728F0C9B"/>
    <w:rsid w:val="72AB7324"/>
    <w:rsid w:val="72DFE7C9"/>
    <w:rsid w:val="72F987B2"/>
    <w:rsid w:val="767F7C3D"/>
    <w:rsid w:val="769F3040"/>
    <w:rsid w:val="76EA9DAD"/>
    <w:rsid w:val="7777817B"/>
    <w:rsid w:val="77AFE771"/>
    <w:rsid w:val="77FBCC9B"/>
    <w:rsid w:val="77FF144E"/>
    <w:rsid w:val="7ADD212E"/>
    <w:rsid w:val="7ADF976C"/>
    <w:rsid w:val="7B7FEBFE"/>
    <w:rsid w:val="7BF77DAA"/>
    <w:rsid w:val="7C183785"/>
    <w:rsid w:val="7D411B69"/>
    <w:rsid w:val="7D6F5347"/>
    <w:rsid w:val="7DAF70DD"/>
    <w:rsid w:val="7DD712CF"/>
    <w:rsid w:val="7DDE282C"/>
    <w:rsid w:val="7E3FC4F1"/>
    <w:rsid w:val="7E7EBFA7"/>
    <w:rsid w:val="7ED9D271"/>
    <w:rsid w:val="7EE7B344"/>
    <w:rsid w:val="7EFEC74E"/>
    <w:rsid w:val="7EFFE2A3"/>
    <w:rsid w:val="7F0F0181"/>
    <w:rsid w:val="7F3F1550"/>
    <w:rsid w:val="7F5B2908"/>
    <w:rsid w:val="7F7BA2DD"/>
    <w:rsid w:val="7F8F84C1"/>
    <w:rsid w:val="7FAE39C2"/>
    <w:rsid w:val="7FD7F0C5"/>
    <w:rsid w:val="7FDBE0CA"/>
    <w:rsid w:val="7FFB1CCD"/>
    <w:rsid w:val="7FFC8B4D"/>
    <w:rsid w:val="7FFF3E18"/>
    <w:rsid w:val="7FFF46EC"/>
    <w:rsid w:val="7FFF837B"/>
    <w:rsid w:val="7FFF9982"/>
    <w:rsid w:val="7FFFB7DC"/>
    <w:rsid w:val="89B54561"/>
    <w:rsid w:val="9EF48E40"/>
    <w:rsid w:val="AD6F793A"/>
    <w:rsid w:val="AFEF3B9B"/>
    <w:rsid w:val="B3FD2D48"/>
    <w:rsid w:val="B77FB2DF"/>
    <w:rsid w:val="B77FDC83"/>
    <w:rsid w:val="B79FB342"/>
    <w:rsid w:val="B79FF21F"/>
    <w:rsid w:val="BA7D6D5B"/>
    <w:rsid w:val="BEB72F3E"/>
    <w:rsid w:val="BF3B9241"/>
    <w:rsid w:val="BF7EC42C"/>
    <w:rsid w:val="BFFDD05C"/>
    <w:rsid w:val="CF2E3570"/>
    <w:rsid w:val="CFD653B1"/>
    <w:rsid w:val="CFF392ED"/>
    <w:rsid w:val="D1D7D2B1"/>
    <w:rsid w:val="D66D36BA"/>
    <w:rsid w:val="DACB7884"/>
    <w:rsid w:val="DE7B3B11"/>
    <w:rsid w:val="DEFA1F33"/>
    <w:rsid w:val="DEFE994D"/>
    <w:rsid w:val="DFF75287"/>
    <w:rsid w:val="DFFED02A"/>
    <w:rsid w:val="DFFF703A"/>
    <w:rsid w:val="E63FC7D9"/>
    <w:rsid w:val="E787C488"/>
    <w:rsid w:val="EB59193E"/>
    <w:rsid w:val="EE368453"/>
    <w:rsid w:val="EEBF7F8A"/>
    <w:rsid w:val="EEE7EA15"/>
    <w:rsid w:val="EEFF4418"/>
    <w:rsid w:val="EF73BB24"/>
    <w:rsid w:val="EFCFBB00"/>
    <w:rsid w:val="EFDE640F"/>
    <w:rsid w:val="EFFEFEB1"/>
    <w:rsid w:val="F3BF1732"/>
    <w:rsid w:val="F3BF65CC"/>
    <w:rsid w:val="F5BB9FFA"/>
    <w:rsid w:val="F6EF6F21"/>
    <w:rsid w:val="F6F71F62"/>
    <w:rsid w:val="F733F2FC"/>
    <w:rsid w:val="F773CCC8"/>
    <w:rsid w:val="F7BF7865"/>
    <w:rsid w:val="F7FF6994"/>
    <w:rsid w:val="FBE756D3"/>
    <w:rsid w:val="FBF6906B"/>
    <w:rsid w:val="FD9F9B86"/>
    <w:rsid w:val="FDBF816E"/>
    <w:rsid w:val="FDEB0BD1"/>
    <w:rsid w:val="FE7D2E85"/>
    <w:rsid w:val="FEFFEE4D"/>
    <w:rsid w:val="FF5BB0F7"/>
    <w:rsid w:val="FF7E810E"/>
    <w:rsid w:val="FF9E04E8"/>
    <w:rsid w:val="FFBF910B"/>
    <w:rsid w:val="FFFDBADE"/>
    <w:rsid w:val="FFFE18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before="4"/>
      <w:jc w:val="both"/>
    </w:pPr>
    <w:rPr>
      <w:rFonts w:ascii="等线" w:hAnsi="等线" w:eastAsia="等线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="等线" w:hAnsi="等线" w:eastAsia="等线" w:cs="Times New Roman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rFonts w:ascii="等线" w:hAnsi="等线" w:eastAsia="等线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VisonBell</Company>
  <Pages>1</Pages>
  <Words>31</Words>
  <Characters>182</Characters>
  <Lines>1</Lines>
  <Paragraphs>1</Paragraphs>
  <TotalTime>3</TotalTime>
  <ScaleCrop>false</ScaleCrop>
  <LinksUpToDate>false</LinksUpToDate>
  <CharactersWithSpaces>212</CharactersWithSpaces>
  <Application>WPS Office_11.8.6.11825_F1E327BC-269C-435d-A152-05C5408002CA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2021-07-16T02:36:00Z</dcterms:created>
  <dc:creator>Administrator</dc:creator>
  <cp:lastModifiedBy>张津慎</cp:lastModifiedBy>
  <cp:lastPrinted>2025-12-10T02:37:00Z</cp:lastPrinted>
  <dcterms:modified xsi:type="dcterms:W3CDTF">2026-04-30T07:59:39Z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2052-11.8.6.11825</vt:lpwstr>
  </property>
  <property fmtid="{D5CDD505-2E9C-101B-9397-08002B2CF9AE}" pid="3" name="ICV">
    <vt:lpwstr>AF542861A1074CA390ABF1467D8F350E</vt:lpwstr>
  </property>
</Properties>
</file>