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仿宋_GB2312"/>
          <w:sz w:val="22"/>
          <w:szCs w:val="22"/>
        </w:rPr>
      </w:pPr>
    </w:p>
    <w:p>
      <w:pPr>
        <w:rPr>
          <w:rFonts w:ascii="黑体" w:hAnsi="黑体" w:eastAsia="黑体" w:cs="黑体"/>
          <w:sz w:val="32"/>
          <w:szCs w:val="32"/>
        </w:rPr>
      </w:pPr>
      <w:r>
        <w:rPr>
          <w:rFonts w:hint="eastAsia" w:ascii="黑体" w:hAnsi="黑体" w:eastAsia="黑体" w:cs="黑体"/>
          <w:sz w:val="32"/>
          <w:szCs w:val="32"/>
        </w:rPr>
        <w:t>附件4</w:t>
      </w:r>
    </w:p>
    <w:p>
      <w:pPr>
        <w:jc w:val="center"/>
        <w:rPr>
          <w:rFonts w:ascii="Times New Roman" w:hAnsi="Times New Roman" w:eastAsia="方正小标宋_GBK"/>
          <w:sz w:val="52"/>
          <w:szCs w:val="52"/>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年度岳阳市人民医院整体支出</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ascii="Times New Roman" w:hAnsi="Times New Roman" w:eastAsia="方正小标宋_GBK"/>
          <w:b/>
          <w:sz w:val="52"/>
          <w:szCs w:val="5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hint="eastAsia" w:ascii="Times New Roman" w:hAnsi="Times New Roman" w:eastAsia="仿宋_GB2312"/>
          <w:sz w:val="32"/>
          <w:szCs w:val="32"/>
          <w:u w:val="single"/>
        </w:rPr>
        <w:t>岳阳市人民医院</w:t>
      </w:r>
    </w:p>
    <w:p>
      <w:pPr>
        <w:tabs>
          <w:tab w:val="left" w:pos="2571"/>
          <w:tab w:val="center" w:pos="4213"/>
        </w:tabs>
        <w:spacing w:line="600" w:lineRule="exact"/>
        <w:jc w:val="left"/>
        <w:rPr>
          <w:rFonts w:ascii="Times New Roman" w:hAnsi="Times New Roman" w:eastAsia="楷体_GB2312"/>
          <w:sz w:val="32"/>
          <w:szCs w:val="32"/>
        </w:rPr>
      </w:pPr>
      <w:r>
        <w:rPr>
          <w:rFonts w:hint="eastAsia" w:ascii="Times New Roman" w:hAnsi="Times New Roman" w:eastAsia="楷体_GB2312"/>
          <w:sz w:val="32"/>
          <w:szCs w:val="32"/>
        </w:rPr>
        <w:tab/>
      </w:r>
      <w:r>
        <w:rPr>
          <w:rFonts w:hint="eastAsia" w:ascii="Times New Roman" w:hAnsi="Times New Roman" w:eastAsia="楷体_GB2312"/>
          <w:sz w:val="32"/>
          <w:szCs w:val="32"/>
        </w:rPr>
        <w:t>202</w:t>
      </w:r>
      <w:r>
        <w:rPr>
          <w:rFonts w:hint="eastAsia" w:ascii="Times New Roman" w:hAnsi="Times New Roman" w:eastAsia="楷体_GB2312"/>
          <w:sz w:val="32"/>
          <w:szCs w:val="32"/>
          <w:lang w:val="en-US" w:eastAsia="zh-CN"/>
        </w:rPr>
        <w:t>6</w:t>
      </w:r>
      <w:r>
        <w:rPr>
          <w:rFonts w:ascii="Times New Roman" w:hAnsi="Times New Roman" w:eastAsia="楷体_GB2312"/>
          <w:sz w:val="32"/>
          <w:szCs w:val="32"/>
        </w:rPr>
        <w:t>年</w:t>
      </w:r>
      <w:r>
        <w:rPr>
          <w:rFonts w:hint="eastAsia" w:ascii="Times New Roman" w:hAnsi="Times New Roman" w:eastAsia="楷体_GB2312"/>
          <w:sz w:val="32"/>
          <w:szCs w:val="32"/>
          <w:lang w:val="en-US" w:eastAsia="zh-CN"/>
        </w:rPr>
        <w:t>4</w:t>
      </w:r>
      <w:r>
        <w:rPr>
          <w:rFonts w:ascii="Times New Roman" w:hAnsi="Times New Roman" w:eastAsia="楷体_GB2312"/>
          <w:sz w:val="32"/>
          <w:szCs w:val="32"/>
        </w:rPr>
        <w:t xml:space="preserve"> 月 </w:t>
      </w:r>
      <w:r>
        <w:rPr>
          <w:rFonts w:hint="eastAsia" w:ascii="Times New Roman" w:hAnsi="Times New Roman" w:eastAsia="楷体_GB2312"/>
          <w:sz w:val="32"/>
          <w:szCs w:val="32"/>
          <w:lang w:val="en-US" w:eastAsia="zh-CN"/>
        </w:rPr>
        <w:t>28</w:t>
      </w:r>
      <w:r>
        <w:rPr>
          <w:rFonts w:ascii="Times New Roman" w:hAnsi="Times New Roman" w:eastAsia="楷体_GB2312"/>
          <w:sz w:val="32"/>
          <w:szCs w:val="32"/>
        </w:rPr>
        <w:t xml:space="preserve"> 日</w:t>
      </w:r>
    </w:p>
    <w:p>
      <w:pPr>
        <w:jc w:val="center"/>
        <w:rPr>
          <w:rFonts w:ascii="Times New Roman" w:hAnsi="Times New Roman" w:eastAsia="仿宋_GB2312"/>
          <w:sz w:val="32"/>
          <w:szCs w:val="32"/>
        </w:rPr>
      </w:pPr>
      <w:r>
        <w:rPr>
          <w:rFonts w:ascii="Times New Roman" w:hAnsi="Times New Roman" w:eastAsia="仿宋_GB2312"/>
          <w:sz w:val="32"/>
          <w:szCs w:val="32"/>
        </w:rPr>
        <w:t>（此页为封面）</w:t>
      </w:r>
    </w:p>
    <w:p>
      <w:pPr>
        <w:jc w:val="center"/>
        <w:rPr>
          <w:rFonts w:ascii="方正小标宋简体" w:hAnsi="方正小标宋简体" w:eastAsia="方正小标宋简体" w:cs="方正小标宋简体"/>
          <w:sz w:val="44"/>
          <w:szCs w:val="44"/>
        </w:rPr>
      </w:pPr>
      <w:r>
        <w:rPr>
          <w:rFonts w:ascii="Times New Roman" w:hAnsi="Times New Roman" w:eastAsia="仿宋_GB2312"/>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年度岳阳市人民医院整体支出</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spacing w:line="640" w:lineRule="exact"/>
        <w:ind w:firstLine="640" w:firstLineChars="200"/>
        <w:rPr>
          <w:rFonts w:ascii="Times New Roman" w:hAnsi="Times New Roman" w:eastAsia="仿宋_GB2312"/>
          <w:sz w:val="32"/>
          <w:szCs w:val="32"/>
        </w:rPr>
      </w:pPr>
    </w:p>
    <w:p>
      <w:pPr>
        <w:numPr>
          <w:ilvl w:val="0"/>
          <w:numId w:val="1"/>
        </w:numPr>
        <w:spacing w:line="640" w:lineRule="exact"/>
        <w:ind w:firstLine="640" w:firstLineChars="200"/>
        <w:rPr>
          <w:rFonts w:ascii="Times New Roman" w:hAnsi="Times New Roman" w:eastAsia="黑体"/>
          <w:sz w:val="32"/>
          <w:szCs w:val="32"/>
        </w:rPr>
      </w:pPr>
      <w:r>
        <w:rPr>
          <w:rFonts w:ascii="Times New Roman" w:hAnsi="Times New Roman" w:eastAsia="黑体"/>
          <w:sz w:val="32"/>
          <w:szCs w:val="32"/>
        </w:rPr>
        <w:t>部门（单位）基本情况</w:t>
      </w:r>
    </w:p>
    <w:p>
      <w:pPr>
        <w:widowControl/>
        <w:ind w:firstLine="560" w:firstLineChars="200"/>
        <w:rPr>
          <w:rFonts w:eastAsia="仿宋" w:cs="仿宋"/>
          <w:sz w:val="32"/>
          <w:szCs w:val="32"/>
        </w:rPr>
      </w:pPr>
      <w:r>
        <w:rPr>
          <w:rFonts w:hint="eastAsia" w:eastAsia="仿宋" w:cs="仿宋"/>
        </w:rPr>
        <w:tab/>
      </w:r>
      <w:r>
        <w:rPr>
          <w:rFonts w:hint="eastAsia" w:eastAsia="仿宋" w:cs="仿宋"/>
          <w:sz w:val="32"/>
          <w:szCs w:val="32"/>
        </w:rPr>
        <w:t>1.职能职责</w:t>
      </w:r>
    </w:p>
    <w:p>
      <w:pPr>
        <w:widowControl/>
        <w:ind w:firstLine="640" w:firstLineChars="200"/>
        <w:rPr>
          <w:rFonts w:eastAsia="仿宋" w:cs="仿宋"/>
          <w:sz w:val="32"/>
          <w:szCs w:val="32"/>
        </w:rPr>
      </w:pPr>
      <w:r>
        <w:rPr>
          <w:rFonts w:hint="eastAsia" w:eastAsia="仿宋" w:cs="仿宋"/>
          <w:color w:val="000000"/>
          <w:sz w:val="32"/>
          <w:szCs w:val="32"/>
        </w:rPr>
        <w:t>岳阳市人民医院始建于1902年，是一所集医疗、保健、预防、教学、康复</w:t>
      </w:r>
      <w:r>
        <w:rPr>
          <w:rFonts w:hint="eastAsia" w:eastAsia="仿宋" w:cs="仿宋"/>
          <w:sz w:val="32"/>
          <w:szCs w:val="32"/>
        </w:rPr>
        <w:t>于一体的三级甲等综合性医院。</w:t>
      </w:r>
    </w:p>
    <w:p>
      <w:pPr>
        <w:widowControl/>
        <w:ind w:firstLine="640" w:firstLineChars="200"/>
        <w:rPr>
          <w:rFonts w:eastAsia="仿宋" w:cs="仿宋"/>
          <w:sz w:val="32"/>
          <w:szCs w:val="32"/>
        </w:rPr>
      </w:pPr>
      <w:r>
        <w:rPr>
          <w:rFonts w:hint="eastAsia" w:eastAsia="仿宋" w:cs="仿宋"/>
          <w:sz w:val="32"/>
          <w:szCs w:val="32"/>
        </w:rPr>
        <w:t>2.机构设置</w:t>
      </w:r>
    </w:p>
    <w:p>
      <w:pPr>
        <w:widowControl/>
        <w:rPr>
          <w:rFonts w:eastAsia="仿宋" w:cs="仿宋"/>
          <w:sz w:val="32"/>
          <w:szCs w:val="32"/>
        </w:rPr>
      </w:pPr>
      <w:r>
        <w:rPr>
          <w:rFonts w:hint="eastAsia" w:eastAsia="仿宋" w:cs="仿宋"/>
        </w:rPr>
        <w:tab/>
      </w:r>
      <w:r>
        <w:rPr>
          <w:rFonts w:hint="eastAsia" w:eastAsia="仿宋" w:cs="仿宋"/>
        </w:rPr>
        <w:t xml:space="preserve">  </w:t>
      </w:r>
      <w:r>
        <w:rPr>
          <w:rFonts w:hint="eastAsia" w:eastAsia="仿宋" w:cs="仿宋"/>
          <w:sz w:val="32"/>
          <w:szCs w:val="32"/>
        </w:rPr>
        <w:t>医院实际开放床位</w:t>
      </w:r>
      <w:r>
        <w:rPr>
          <w:rFonts w:hint="eastAsia" w:eastAsia="仿宋" w:cs="仿宋"/>
          <w:sz w:val="32"/>
          <w:szCs w:val="32"/>
          <w:lang w:val="en-US" w:eastAsia="zh-CN"/>
        </w:rPr>
        <w:t>1630</w:t>
      </w:r>
      <w:r>
        <w:rPr>
          <w:rFonts w:hint="eastAsia" w:eastAsia="仿宋" w:cs="仿宋"/>
          <w:sz w:val="32"/>
          <w:szCs w:val="32"/>
        </w:rPr>
        <w:t>张，设职能科室23个，临床、医技科室58个。医院现有1个国家级重点专科；6个湖南省临床重点专科；11个岳阳市临床重点专科；23个市级专业委员会和13个市级专业质量控制中心依托医院设立。</w:t>
      </w: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3"/>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ind w:firstLine="640" w:firstLineChars="200"/>
        <w:rPr>
          <w:rFonts w:eastAsia="仿宋" w:cs="仿宋"/>
          <w:sz w:val="32"/>
          <w:szCs w:val="32"/>
        </w:rPr>
      </w:pPr>
      <w:r>
        <w:rPr>
          <w:rFonts w:hint="eastAsia" w:eastAsia="仿宋" w:cs="仿宋"/>
          <w:sz w:val="32"/>
          <w:szCs w:val="32"/>
        </w:rPr>
        <w:t>202</w:t>
      </w:r>
      <w:r>
        <w:rPr>
          <w:rFonts w:hint="eastAsia" w:eastAsia="仿宋" w:cs="仿宋"/>
          <w:sz w:val="32"/>
          <w:szCs w:val="32"/>
          <w:lang w:val="en-US" w:eastAsia="zh-CN"/>
        </w:rPr>
        <w:t>5</w:t>
      </w:r>
      <w:r>
        <w:rPr>
          <w:rFonts w:hint="eastAsia" w:eastAsia="仿宋" w:cs="仿宋"/>
          <w:sz w:val="32"/>
          <w:szCs w:val="32"/>
        </w:rPr>
        <w:t>年岳阳市人民医院基本支出</w:t>
      </w:r>
      <w:r>
        <w:rPr>
          <w:rFonts w:hint="eastAsia" w:eastAsia="仿宋" w:cs="仿宋"/>
          <w:sz w:val="32"/>
          <w:szCs w:val="32"/>
          <w:lang w:val="en-US" w:eastAsia="zh-CN"/>
        </w:rPr>
        <w:t>157.5</w:t>
      </w:r>
      <w:r>
        <w:rPr>
          <w:rFonts w:hint="eastAsia" w:eastAsia="仿宋" w:cs="仿宋"/>
          <w:sz w:val="32"/>
          <w:szCs w:val="32"/>
        </w:rPr>
        <w:t>万</w:t>
      </w:r>
      <w:r>
        <w:rPr>
          <w:rFonts w:hint="eastAsia" w:eastAsia="仿宋" w:cs="仿宋"/>
          <w:sz w:val="32"/>
          <w:szCs w:val="32"/>
          <w:lang w:val="en-US" w:eastAsia="zh-CN"/>
        </w:rPr>
        <w:t>元</w:t>
      </w:r>
      <w:r>
        <w:rPr>
          <w:rFonts w:hint="eastAsia" w:eastAsia="仿宋" w:cs="仿宋"/>
          <w:sz w:val="32"/>
          <w:szCs w:val="32"/>
        </w:rPr>
        <w:t>，主要用于</w:t>
      </w:r>
      <w:r>
        <w:rPr>
          <w:rFonts w:hint="eastAsia" w:eastAsia="仿宋" w:cs="仿宋"/>
          <w:sz w:val="32"/>
          <w:szCs w:val="32"/>
          <w:lang w:val="en-US" w:eastAsia="zh-CN"/>
        </w:rPr>
        <w:t>医院日常运营</w:t>
      </w:r>
      <w:r>
        <w:rPr>
          <w:rFonts w:hint="eastAsia" w:eastAsia="仿宋" w:cs="仿宋"/>
          <w:sz w:val="32"/>
          <w:szCs w:val="32"/>
        </w:rPr>
        <w:t>。</w:t>
      </w:r>
    </w:p>
    <w:p>
      <w:pPr>
        <w:pStyle w:val="13"/>
        <w:widowControl/>
        <w:numPr>
          <w:ilvl w:val="0"/>
          <w:numId w:val="2"/>
        </w:numPr>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项目支出情况</w:t>
      </w:r>
    </w:p>
    <w:p>
      <w:pPr>
        <w:pStyle w:val="13"/>
        <w:widowControl/>
        <w:spacing w:line="640" w:lineRule="exact"/>
        <w:ind w:firstLine="64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年岳阳市人民医院项目支出</w:t>
      </w:r>
      <w:r>
        <w:rPr>
          <w:rFonts w:hint="eastAsia" w:ascii="仿宋" w:hAnsi="仿宋" w:eastAsia="仿宋" w:cs="仿宋"/>
          <w:sz w:val="32"/>
          <w:szCs w:val="32"/>
          <w:lang w:val="en-US" w:eastAsia="zh-CN"/>
        </w:rPr>
        <w:t>190</w:t>
      </w:r>
      <w:r>
        <w:rPr>
          <w:rFonts w:hint="eastAsia" w:ascii="仿宋" w:hAnsi="仿宋" w:eastAsia="仿宋" w:cs="仿宋"/>
          <w:sz w:val="32"/>
          <w:szCs w:val="32"/>
        </w:rPr>
        <w:t>万，主要用于非税收入返还支出。</w:t>
      </w: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13"/>
        <w:widowControl/>
        <w:spacing w:line="640" w:lineRule="exact"/>
        <w:ind w:firstLine="1280" w:firstLineChars="400"/>
        <w:rPr>
          <w:rFonts w:ascii="Times New Roman" w:hAnsi="Times New Roman" w:eastAsia="黑体"/>
          <w:sz w:val="32"/>
          <w:szCs w:val="32"/>
        </w:rPr>
      </w:pPr>
      <w:r>
        <w:rPr>
          <w:rFonts w:hint="eastAsia" w:ascii="仿宋" w:hAnsi="仿宋" w:eastAsia="仿宋" w:cs="仿宋"/>
          <w:sz w:val="32"/>
          <w:szCs w:val="32"/>
        </w:rPr>
        <w:t>无</w:t>
      </w:r>
    </w:p>
    <w:p>
      <w:pPr>
        <w:pStyle w:val="13"/>
        <w:widowControl/>
        <w:spacing w:line="64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13"/>
        <w:widowControl/>
        <w:spacing w:line="640" w:lineRule="exact"/>
        <w:ind w:firstLine="0" w:firstLineChars="0"/>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无</w:t>
      </w:r>
    </w:p>
    <w:p>
      <w:pPr>
        <w:pStyle w:val="13"/>
        <w:widowControl/>
        <w:spacing w:line="64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3"/>
        <w:widowControl/>
        <w:spacing w:line="640" w:lineRule="exact"/>
        <w:ind w:left="560" w:leftChars="200" w:firstLine="0" w:firstLineChars="0"/>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无</w:t>
      </w:r>
    </w:p>
    <w:p>
      <w:pPr>
        <w:widowControl/>
        <w:spacing w:line="6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六、</w:t>
      </w:r>
      <w:r>
        <w:rPr>
          <w:rFonts w:ascii="Times New Roman" w:hAnsi="Times New Roman" w:eastAsia="黑体"/>
          <w:sz w:val="32"/>
          <w:szCs w:val="32"/>
        </w:rPr>
        <w:t>部门整体支出绩效情况</w:t>
      </w:r>
    </w:p>
    <w:p>
      <w:pPr>
        <w:widowControl/>
        <w:spacing w:line="580" w:lineRule="exact"/>
        <w:ind w:firstLine="640" w:firstLineChars="200"/>
        <w:rPr>
          <w:rFonts w:hint="eastAsia" w:eastAsia="仿宋" w:cs="仿宋"/>
          <w:sz w:val="32"/>
          <w:szCs w:val="32"/>
        </w:rPr>
      </w:pPr>
      <w:r>
        <w:rPr>
          <w:rFonts w:hint="eastAsia" w:eastAsia="仿宋" w:cs="仿宋"/>
          <w:sz w:val="32"/>
          <w:szCs w:val="32"/>
        </w:rPr>
        <w:t>2025年，是全面贯彻落实党的二十大精神及二十届三中、四中全会精神的关键之年，也是我院深入推进“十四五”规划、谋划“十五五”发展蓝图的攻坚之年。在岳阳市委、市政府和市卫生健康委的坚强领导与大力支持下，岳阳市人民医院全体干部职工始终坚持以人民健康为中心的发展思想，紧紧围绕高质量发展主题，以“稳基础、提效能、促创新、保合规、强党建”为核心工作导向，凝心聚力，锐意进取，克服多重困难与挑战，在党建文化、医疗质量、服务水平、管理效能、学科建设、人才培养等各方面均取得了扎实进展与显著成效，医院综合实力和社会影响力得到进一步提升，为保障区域人民群众生命健康、服务地方经济社会发展做出了积极贡献。</w:t>
      </w:r>
    </w:p>
    <w:p>
      <w:pPr>
        <w:widowControl/>
        <w:spacing w:line="580" w:lineRule="exact"/>
        <w:ind w:firstLine="640" w:firstLineChars="200"/>
        <w:rPr>
          <w:rFonts w:eastAsia="仿宋" w:cs="仿宋"/>
          <w:sz w:val="32"/>
          <w:szCs w:val="32"/>
        </w:rPr>
      </w:pPr>
      <w:r>
        <w:rPr>
          <w:rFonts w:hint="eastAsia" w:eastAsia="仿宋" w:cs="仿宋"/>
          <w:sz w:val="32"/>
          <w:szCs w:val="32"/>
        </w:rPr>
        <w:t>全年共接诊门急诊病人78万余人次，较去年同期增长18.3%；出院病人7万人次，较去年增长2.87%；手术2.2万台次，较去年同期增长15.7%；平均住院日7.41天；C、D型病例占比91.7%。</w:t>
      </w:r>
    </w:p>
    <w:p>
      <w:pPr>
        <w:ind w:firstLine="643" w:firstLineChars="200"/>
        <w:jc w:val="both"/>
        <w:rPr>
          <w:rFonts w:hint="eastAsia" w:ascii="仿宋" w:hAnsi="仿宋" w:eastAsia="仿宋" w:cs="仿宋"/>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rPr>
        <w:t>、铸魂聚力，党建与文化建设开创新局面</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医院始终坚持和加强党的全面领导，以高质量党建引领高质量发展，将文化建设融入医院治理各个环节。</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（一）思想政治与组织建设根基稳固。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扎实推进各项党建工作。严格落实“三会一课”制度，举办了全院党建骨干业务培训暨党员集中学习班，覆盖240余名党员。制定并试行了《党支部参与科室重大问题决策制度》，推动党支部在科室业务发展、人才引进、绩效分配等重大事项中发挥作用，党建与业务融合机制初步建立。面对市委巡察反馈的82个具体问题，医院党委以高度的政治责任感，建立“三张清单”，实行“一案一档”精细化管理，召开专题会议15次，截至6月底已完成整改78个，阶段性完成4个，移交的信访件与立行立改问题全部办结，展现了强大的整改执行力与政治担当。</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（二）全面从严治党与清廉医院建设纵深推进。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聚焦主责主业，为医院健康发展保驾护航。强化政治监督，协助党委完善全面从严治党主体责任清单并督促落实。作为全市“履职用权负面清单”管理机制改革试点单位，高规格推进此项创新工作，党委书记、院长“双挂帅”，组织全院排查识别141项廉洁风险点，制定并下发了一系列清单与制度，构建了清晰的行为边界与风险防控屏障，于9月顺利通过市纪委监委评估。坚决扛起巡察整改监督责任，运用“台账跟踪、实地核查、约谈问责”三步法开展5轮督导，处理相关责任人75名，确保整改见底见效。深入开展中央八项规定精神学习教育及违规吃喝专项整治，全院干部职工签订承诺书1791份，开展多轮警示教育与监督检查。做实日常监督，全年开展廉政谈话293人次，发送廉洁提醒短信3897条次，对“三重一大”事项、干部提拔、招聘等关键环节进行全程监督。医德医风建设成果显著，全年医护人员主动退缴红包22.6万元，收到锦旗539面、感谢信25封。</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（三）文化宣传与精神文明建设成果丰硕。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宣传阵地作用充分发挥，围绕医疗中心工作，开设《匠心术者》《仁医风采》等多个专栏，报道先进典型与技术突破，多篇稿件阅读量破万。拍摄的医师节、住培等宣传片广受好评。积极响应“健康中国”行动，策划拍摄系列健康科普视频，在省级科普大赛中荣获优秀组织奖等多项大奖。文明创建常态化开展，成功通过了全国文明城市创建实地考察与省级无烟医疗机构“回头看”检查，院内“文明科室”、“文明窗口”评选活动营造了争先创优的氛围。“慈善一日捐”等公益活动体现了医院的社会责任。</w:t>
      </w:r>
    </w:p>
    <w:p>
      <w:pPr>
        <w:rPr>
          <w:rFonts w:hint="eastAsia" w:ascii="仿宋" w:hAnsi="仿宋" w:eastAsia="仿宋" w:cs="仿宋"/>
          <w:b/>
          <w:bCs/>
          <w:sz w:val="32"/>
          <w:szCs w:val="32"/>
          <w:lang w:eastAsia="zh-CN"/>
        </w:rPr>
      </w:pPr>
      <w:r>
        <w:rPr>
          <w:rFonts w:hint="eastAsia" w:ascii="仿宋" w:hAnsi="仿宋" w:eastAsia="仿宋" w:cs="仿宋"/>
          <w:b/>
          <w:bCs/>
          <w:sz w:val="32"/>
          <w:szCs w:val="32"/>
        </w:rPr>
        <w:t>（四）职工关怀与群团工作温暖人心。</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切实发挥</w:t>
      </w:r>
      <w:r>
        <w:rPr>
          <w:rFonts w:hint="eastAsia" w:ascii="仿宋" w:hAnsi="仿宋" w:eastAsia="仿宋" w:cs="仿宋"/>
          <w:sz w:val="32"/>
          <w:szCs w:val="32"/>
          <w:lang w:val="en-US" w:eastAsia="zh-CN"/>
        </w:rPr>
        <w:t>工会</w:t>
      </w:r>
      <w:r>
        <w:rPr>
          <w:rFonts w:hint="eastAsia" w:ascii="仿宋" w:hAnsi="仿宋" w:eastAsia="仿宋" w:cs="仿宋"/>
          <w:sz w:val="32"/>
          <w:szCs w:val="32"/>
        </w:rPr>
        <w:t>桥梁纽带作用，着力提升职工归属感与幸福感。成立了“医院职工保健门诊”，为在职及离退休职工提供免挂号费的“一站式”健康服务。传统节日福利、生日关怀及时到位。开展了职工体检、医疗互助保险、职业暴露保障等多层次健康保障计划。文体活动丰富多彩，迎春长跑、职工篮球赛、气排球赛、烘焙教学、“减重挑战营”等活动深受欢迎。多个文体协会活跃，职工在省市卫健系统比赛中取得佳绩。关怀慰问覆盖生育、住院、困难、退役军人、离退休老同志等各类群体，发放各类慰问、帮扶、津贴资金数百万元，让职工切实感受到“家”的温暖。</w:t>
      </w:r>
    </w:p>
    <w:p>
      <w:pPr>
        <w:ind w:firstLine="643" w:firstLineChars="200"/>
        <w:jc w:val="both"/>
        <w:rPr>
          <w:rFonts w:hint="eastAsia" w:ascii="仿宋" w:hAnsi="仿宋" w:eastAsia="仿宋" w:cs="仿宋"/>
          <w:b/>
          <w:bCs/>
          <w:sz w:val="32"/>
          <w:szCs w:val="32"/>
          <w:lang w:eastAsia="zh-CN"/>
        </w:rPr>
      </w:pPr>
      <w:bookmarkStart w:id="1" w:name="_GoBack"/>
      <w:bookmarkEnd w:id="1"/>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、筑牢根基，医疗质量与安全迈上新台阶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医院始终将医疗质量与患者安全置于首位，通过精细化管理和常态化督导，构建了更为坚固的质量安全防线。</w:t>
      </w:r>
    </w:p>
    <w:p>
      <w:pPr>
        <w:pStyle w:val="13"/>
        <w:widowControl/>
        <w:numPr>
          <w:ilvl w:val="0"/>
          <w:numId w:val="0"/>
        </w:numPr>
        <w:shd w:val="clear" w:color="auto" w:fill="FFFFFF"/>
        <w:spacing w:line="360" w:lineRule="auto"/>
        <w:jc w:val="left"/>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（一）强基固本，实现手术能力高质量发展</w:t>
      </w:r>
    </w:p>
    <w:p>
      <w:pPr>
        <w:spacing w:line="360" w:lineRule="auto"/>
        <w:ind w:firstLine="640" w:firstLineChars="200"/>
        <w:rPr>
          <w:rFonts w:hint="eastAsia" w:ascii="仿宋" w:hAnsi="仿宋" w:eastAsia="仿宋" w:cs="仿宋"/>
          <w:kern w:val="2"/>
          <w:sz w:val="32"/>
          <w:szCs w:val="32"/>
          <w:lang w:val="en-US" w:eastAsia="zh-CN" w:bidi="ar-SA"/>
        </w:rPr>
      </w:pPr>
      <w:bookmarkStart w:id="0" w:name="_Hlk129547448"/>
      <w:r>
        <w:rPr>
          <w:rFonts w:hint="eastAsia" w:ascii="仿宋" w:hAnsi="仿宋" w:eastAsia="仿宋" w:cs="仿宋"/>
          <w:kern w:val="2"/>
          <w:sz w:val="32"/>
          <w:szCs w:val="32"/>
          <w:lang w:val="en-US" w:eastAsia="zh-CN" w:bidi="ar-SA"/>
        </w:rPr>
        <w:t>为贯彻落实国务院、省政府和省卫健委关于公立医院高质量发展的决策，根据医院高质量发展的总体部署，推动我院手术能力快速、高质量发展。上半年四级手术占比、微创手术占比和出院患者手术占比均有提升，以四级手术占比最为突出。</w:t>
      </w:r>
    </w:p>
    <w:p>
      <w:pPr>
        <w:numPr>
          <w:ilvl w:val="0"/>
          <w:numId w:val="3"/>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开展四级手术能力提升行动。为贯彻落实《全面提升医疗质量（2023-2025）三年行动方案》《手术能力（2023-2025）三年行动方案》《公立医院高质量发展》的重要精神，提高医院三级公立医院绩效考核手术类核心指标，并以四级手术能力提升为抓手，促进全院手术能力提升，切实提升医院医疗服务能力，促进医院高质量发展，医院领导高度重视，组织相关职能部门制定了《岳阳市人民医院四级手术能力提升行动方案》，方案实施后，我院上半年四级手术台次较2024年增长10.5%，四级手术占比达18.2%，较上年提高1.51个百分点，为医院高质量发展注入了活力。</w:t>
      </w:r>
    </w:p>
    <w:p>
      <w:pPr>
        <w:numPr>
          <w:ilvl w:val="0"/>
          <w:numId w:val="3"/>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大力发展新技术。医院以“前瞻布局、精准发力”为主题召开了一场盛大的新技术新项目论证会，吹响了新一年医院高质量发展的冲锋号。全院各临床医技科室积极响应，提交新技术新项目共计80项，其中医疗63项，护理17项，创历史新高。新技术新项目涉及医院工作的方方面面，从精准医疗到卓越管理，从微创技术到产品创新，从传统技术的优化改良到与人工智能（AI）的技术革新，既聚焦前沿科技，又紧扣患者需求，展现了人医人与时俱进、开拓进取的探索精神。医院坚持“创新性、安全性、实用性”三大标准，由院领导、学科带头人及伦理委员会组成评审团，项目负责人从技术难点、风险评估、可行性分析等角度进行阐述，引发热烈讨论，专家从伦理合规性到临床应用场景逐一质询，充分体现了我院医疗业务多元化、全方位的发展态势和新技术新项目审批流程严谨的工作作风。</w:t>
      </w:r>
    </w:p>
    <w:bookmarkEnd w:id="0"/>
    <w:p>
      <w:pPr>
        <w:pStyle w:val="13"/>
        <w:widowControl/>
        <w:numPr>
          <w:ilvl w:val="0"/>
          <w:numId w:val="0"/>
        </w:numPr>
        <w:shd w:val="clear" w:color="auto" w:fill="FFFFFF"/>
        <w:spacing w:line="360" w:lineRule="auto"/>
        <w:jc w:val="left"/>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（二）多措并举，促进围术期管理高质量发展</w:t>
      </w:r>
    </w:p>
    <w:p>
      <w:pPr>
        <w:numPr>
          <w:ilvl w:val="0"/>
          <w:numId w:val="4"/>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我院继续围绕国家卫健委《手术质量安全提升行动（2023-2025年）》为纲，以新版国家公立医院绩效考核四级手术目录、微创手术目录未依据，完善手术分级目录，规范手术授权，定期进行手术质量安全督导，实现持续改进，一季度完成联合督查20次，消除安全隐患30余起。</w:t>
      </w:r>
    </w:p>
    <w:p>
      <w:pPr>
        <w:numPr>
          <w:ilvl w:val="0"/>
          <w:numId w:val="4"/>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落实《2025年国家医疗质量安全改进目标》之《降低住院患者重返手术室再手术率》和《提高四级手术术前多学科讨论完成率》，实行常态化监测，定期总结、质控，逐步提高我院四级手术术前多学科讨论完成率、降低我院住院患者围手术期死亡率。</w:t>
      </w:r>
    </w:p>
    <w:p>
      <w:pPr>
        <w:numPr>
          <w:ilvl w:val="0"/>
          <w:numId w:val="4"/>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推进日间手术工作。通过调整妇科门诊布局、优化工作流程，实现了宫腔镜手术的日间管理，提升了医疗资源使用效率，方便了广大患者。</w:t>
      </w:r>
    </w:p>
    <w:p>
      <w:pPr>
        <w:numPr>
          <w:ilvl w:val="0"/>
          <w:numId w:val="4"/>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以案促改，全院开展警示教育。医院针对围术期管理安全隐患的典型案例，在全院大会上进行深刻剖析，精准指出问题、提出改进建议。并督促各科室再次学习，举一反三，坚决捍卫广大患者生命安全。</w:t>
      </w:r>
    </w:p>
    <w:p>
      <w:pPr>
        <w:numPr>
          <w:ilvl w:val="0"/>
          <w:numId w:val="4"/>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编写《围术期管理核心知识手册》，并举行院科两级业务学习。为规范围术期管理，保障医疗质量安全，医务部牵头编撰了《围术期管理核心知识手册》，涵盖术前、术中、术后各个环节，涉及呼吸、循环、神经、疼痛、营养、麻醉、护理等多个专业，并选取重点章节全院学习。医务部分管科长下重点科室进行宣讲。</w:t>
      </w:r>
    </w:p>
    <w:p>
      <w:pPr>
        <w:numPr>
          <w:ilvl w:val="0"/>
          <w:numId w:val="4"/>
        </w:numPr>
        <w:spacing w:line="360" w:lineRule="auto"/>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修订《专科疾病诊疗规范》。为提升医疗服务质量，规范专科疾病诊疗流程，保障患者安全，医务部组织业务科室结合教科书、权威指南和专家共识修订了专科疾病诊疗规范，确保诊疗规范的科学性和先进性，目前已有22个科室完成了专科诊疗疾病规范的编写。</w:t>
      </w:r>
    </w:p>
    <w:p>
      <w:pPr>
        <w:numPr>
          <w:ilvl w:val="0"/>
          <w:numId w:val="4"/>
        </w:numPr>
        <w:spacing w:line="360" w:lineRule="auto"/>
        <w:ind w:left="0" w:leftChars="0"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赛促学，打造规范文化。6月举办第二届青年医师规范化手术案例大赛初赛，7月举办了决赛，共32名青年医师参赛，通过比赛的开展，营造了比学赶帮超的良好氛围，发掘了一批临床功底扎实、临床思维缜密且充满朝气的青年医师。</w:t>
      </w:r>
    </w:p>
    <w:p>
      <w:pPr>
        <w:pStyle w:val="13"/>
        <w:widowControl/>
        <w:numPr>
          <w:ilvl w:val="0"/>
          <w:numId w:val="0"/>
        </w:numPr>
        <w:shd w:val="clear" w:color="auto" w:fill="FFFFFF"/>
        <w:spacing w:line="360" w:lineRule="auto"/>
        <w:jc w:val="left"/>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（三）推进五大中心建设，打造高级创伤中心</w:t>
      </w:r>
    </w:p>
    <w:p>
      <w:pPr>
        <w:widowControl/>
        <w:shd w:val="clear" w:color="auto" w:fill="FFFFFF"/>
        <w:spacing w:line="360" w:lineRule="auto"/>
        <w:ind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我院作为岳阳市创伤中心的挂靠单位，也是岳阳市创伤联盟的牵头单位，担负着岳阳市严重创伤救治能力提升的重要任务。为进一步贯彻落实《国家卫生健康委关于进一步提升创伤救治能力的通知》（国卫办医函〔2018〕477号）、《湖南省二、三级综合医院创伤中心建设指导原则》（湘卫函〔2018〕174 号）和《关于进一步加强创伤中心建设的通知》（湘卫医政医管处便函〔2019〕160 号）等文件的精神，促进我院高质量发展，我院制定了《岳阳市人民医院创建中国创伤救治联盟高级创伤中心工作方案》。上半年度完成严重创伤救治患者1000余人。救治成功率达95%以上（24小时内救治成功率）。</w:t>
      </w:r>
    </w:p>
    <w:p>
      <w:pPr>
        <w:pStyle w:val="13"/>
        <w:widowControl/>
        <w:numPr>
          <w:ilvl w:val="0"/>
          <w:numId w:val="0"/>
        </w:numPr>
        <w:shd w:val="clear" w:color="auto" w:fill="FFFFFF"/>
        <w:spacing w:line="360" w:lineRule="auto"/>
        <w:jc w:val="left"/>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（四）深化VTE规范化防治，降低院内非预期死亡</w:t>
      </w:r>
    </w:p>
    <w:p>
      <w:pPr>
        <w:pStyle w:val="13"/>
        <w:widowControl/>
        <w:shd w:val="clear" w:color="auto" w:fill="FFFFFF"/>
        <w:spacing w:line="360" w:lineRule="auto"/>
        <w:ind w:firstLine="480"/>
        <w:jc w:val="left"/>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静脉血栓栓塞症（VTE）是住院患者非预期死亡的重要原因，占比高达10%，在临床上往往很难被发现，被称为“沉默的杀手”。今年3月我院荣获王辰院士领衔的中国住院患者静脉血栓栓塞症预防策略（CHIPS-VTE）中心研究项目“示范研究单位”称号，标志着我院VTE防治能力和研究水平再上新台阶。6月成功加入国家重点研发计划项目“系统干预策略对住院患者静脉血栓栓塞症预防作用的探索性研究”，成为全国32家研究单位之一。依托我院成立的VTE质控中心也获得了“优秀质控中心”称号。通过项目建设，我院VTE规范预防率稳步提升，医院相关性VTE发生率由2.41%下降至1.42%。</w:t>
      </w:r>
    </w:p>
    <w:p>
      <w:pPr>
        <w:spacing w:line="360" w:lineRule="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（五）</w:t>
      </w:r>
      <w:r>
        <w:rPr>
          <w:rFonts w:hint="default" w:ascii="仿宋" w:hAnsi="仿宋" w:eastAsia="仿宋" w:cs="仿宋"/>
          <w:b/>
          <w:bCs/>
          <w:kern w:val="2"/>
          <w:sz w:val="32"/>
          <w:szCs w:val="32"/>
          <w:lang w:val="en-US" w:eastAsia="zh-CN" w:bidi="ar-SA"/>
        </w:rPr>
        <w:t>省市级临床重点专科建设项目验收工作</w:t>
      </w:r>
    </w:p>
    <w:p>
      <w:pPr>
        <w:numPr>
          <w:ilvl w:val="0"/>
          <w:numId w:val="0"/>
        </w:numPr>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医院2025年</w:t>
      </w:r>
      <w:r>
        <w:rPr>
          <w:rFonts w:hint="default" w:ascii="仿宋" w:hAnsi="仿宋" w:eastAsia="仿宋" w:cs="仿宋"/>
          <w:kern w:val="2"/>
          <w:sz w:val="32"/>
          <w:szCs w:val="32"/>
          <w:lang w:val="en-US" w:eastAsia="zh-CN" w:bidi="ar-SA"/>
        </w:rPr>
        <w:t>紧密围绕医院发展战略，将重点专科建设作为全年核心任务系统推进，通过强化组织部署、高效执行落实与持续优化管理，圆满完成了年度省级评审申报与迎检工作，并依据评审结果及时调整激励政策，为学科长远发展奠定了坚实基础。</w:t>
      </w:r>
      <w:r>
        <w:rPr>
          <w:rFonts w:hint="eastAsia" w:ascii="仿宋" w:hAnsi="仿宋" w:eastAsia="仿宋" w:cs="仿宋"/>
          <w:kern w:val="2"/>
          <w:sz w:val="32"/>
          <w:szCs w:val="32"/>
          <w:lang w:val="en-US" w:eastAsia="zh-CN" w:bidi="ar-SA"/>
        </w:rPr>
        <w:t>成功获评省级重点专科（含建设项目）13个。</w:t>
      </w:r>
      <w:r>
        <w:rPr>
          <w:rFonts w:hint="default" w:ascii="仿宋" w:hAnsi="仿宋" w:eastAsia="仿宋" w:cs="仿宋"/>
          <w:kern w:val="2"/>
          <w:sz w:val="32"/>
          <w:szCs w:val="32"/>
          <w:lang w:val="en-US" w:eastAsia="zh-CN" w:bidi="ar-SA"/>
        </w:rPr>
        <w:t>全年召开专题推进及沟通会4次，由院领导牵头成立工作专班，明确职责分工与时间节点。组织完成15个重点学科的内部遴选、全面摸底与材料联审，确保申报工作有序、高效</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共组织申报省级重点专科15个，其中复评1个（骨科）、验收4个</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临床护理、急诊科、消化内科、普通外科&lt;胰脾方向&gt;）、新申报10个。根据湖南省卫健委2025年公示结果，我院共13个学科成功获评，具体为：省级重点专科确认项目（7个）： 消化内科、心血管内科、肝胆外科、急诊医学科、临床护理、骨科、普通外科（胰脾方向）。其中，骨科</w:t>
      </w:r>
      <w:r>
        <w:rPr>
          <w:rFonts w:hint="eastAsia" w:ascii="仿宋" w:hAnsi="仿宋" w:eastAsia="仿宋" w:cs="仿宋"/>
          <w:kern w:val="2"/>
          <w:sz w:val="32"/>
          <w:szCs w:val="32"/>
          <w:lang w:val="en-US" w:eastAsia="zh-CN" w:bidi="ar-SA"/>
        </w:rPr>
        <w:t>为省级复评</w:t>
      </w:r>
      <w:r>
        <w:rPr>
          <w:rFonts w:hint="default" w:ascii="仿宋" w:hAnsi="仿宋" w:eastAsia="仿宋" w:cs="仿宋"/>
          <w:kern w:val="2"/>
          <w:sz w:val="32"/>
          <w:szCs w:val="32"/>
          <w:lang w:val="en-US" w:eastAsia="zh-CN" w:bidi="ar-SA"/>
        </w:rPr>
        <w:t>，其余6个学科均实现等级“提升”。省级重点专科建设项目（6个）： 内分泌科、神经外科、泌尿外科、妇科、肿瘤科、医学检验科。此6个学科均实现从市州级到省级的“提升”。</w:t>
      </w:r>
    </w:p>
    <w:p>
      <w:pPr>
        <w:jc w:val="both"/>
        <w:rPr>
          <w:rFonts w:hint="eastAsia" w:ascii="黑体" w:hAnsi="黑体" w:eastAsia="黑体" w:cs="黑体"/>
          <w:b/>
          <w:bCs/>
          <w:sz w:val="32"/>
          <w:szCs w:val="32"/>
          <w:lang w:eastAsia="zh-CN"/>
        </w:rPr>
      </w:pPr>
      <w:r>
        <w:rPr>
          <w:rFonts w:hint="eastAsia" w:ascii="华文仿宋" w:hAnsi="华文仿宋" w:eastAsia="华文仿宋" w:cs="华文仿宋"/>
          <w:b/>
          <w:bCs/>
          <w:sz w:val="32"/>
          <w:szCs w:val="32"/>
          <w:lang w:val="en-US" w:eastAsia="zh-CN"/>
        </w:rPr>
        <w:t>（六）、</w:t>
      </w:r>
      <w:r>
        <w:rPr>
          <w:rFonts w:hint="eastAsia" w:ascii="华文仿宋" w:hAnsi="华文仿宋" w:eastAsia="华文仿宋" w:cs="华文仿宋"/>
          <w:b/>
          <w:bCs/>
          <w:sz w:val="32"/>
          <w:szCs w:val="32"/>
        </w:rPr>
        <w:t>全面质量管控体系持续优化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国家三级公立医院绩效考核再传捷报，我院连续第四年荣获A等级评价，稳居全市首位，全省排名第七，这一成绩是医院医疗质量、运营效率、持续发展与满意度评价全面达优的集中体现。以此为契机，医院参照国家监测指标中位值，制定了未来三年各指标的目标值与提升路径。内部质控体系不断完善，修订出台了《岳阳市人民医院质控绩效考核工作方案（2026版）》，使其更贴合最新的薪酬制度改革精神。每月精心编撰的《全面质量月报》经过优化，内容更具客观性、全面性与科学性，成为动态评价和管理全院工作的重要工具。严格落实“一线工作法”，质控人员定期参与联点科室晨交班与月度质控会，现场督查指导，并与科主任深入交流，推动科级质控落到实处。联合医务部、护理部开展了覆盖全院的科室月度质量分析督导，并参与了26个临床医技科室的医疗行政大查房，对科级质控及不良事件上报工作进行现场评价与指导。</w:t>
      </w:r>
    </w:p>
    <w:p>
      <w:pPr>
        <w:jc w:val="both"/>
        <w:rPr>
          <w:rFonts w:hint="eastAsia" w:ascii="黑体" w:hAnsi="黑体" w:eastAsia="黑体" w:cs="黑体"/>
          <w:b/>
          <w:bCs/>
          <w:sz w:val="32"/>
          <w:szCs w:val="32"/>
          <w:lang w:val="en-US" w:eastAsia="zh-CN"/>
        </w:rPr>
      </w:pPr>
      <w:r>
        <w:rPr>
          <w:rFonts w:hint="eastAsia" w:ascii="华文仿宋" w:hAnsi="华文仿宋" w:eastAsia="华文仿宋" w:cs="华文仿宋"/>
          <w:b/>
          <w:bCs/>
          <w:sz w:val="32"/>
          <w:szCs w:val="32"/>
          <w:lang w:val="en-US" w:eastAsia="zh-CN"/>
        </w:rPr>
        <w:t>（七）、患者安全专项行动成效显著</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院积极响应国家及省卫生健康委号召，深入开展患者安全专项行动。修订完善了医疗安全（不良）事件管理制度，坚持非惩罚性、鼓励上报的原则，营造了开放、透明的安全文化氛围。2025年1-11月，全院共主动上报不良事件1753例，较去年同期增加181例，每百名出院患者上报例数达2.66例，超过了国家2.5例的要求。通过对上报事件的月度总结分析与根本原因追溯，及时发现并堵塞了系统漏洞，有效避免了严重医疗差错的发生。对新入职员工进行了专项培训，提升了全员风险识别与防范意识。不良事件管理已从被动应对转向主动预警与系统性改进，成为保障患者安全、提升医疗质量的重要抓手。</w:t>
      </w:r>
    </w:p>
    <w:p>
      <w:pPr>
        <w:jc w:val="both"/>
        <w:rPr>
          <w:rFonts w:hint="eastAsia" w:ascii="仿宋" w:hAnsi="仿宋" w:eastAsia="仿宋" w:cs="仿宋"/>
          <w:b/>
          <w:bCs/>
          <w:sz w:val="32"/>
          <w:szCs w:val="32"/>
          <w:lang w:eastAsia="zh-CN"/>
        </w:rPr>
      </w:pPr>
      <w:r>
        <w:rPr>
          <w:rFonts w:hint="eastAsia" w:ascii="华文仿宋" w:hAnsi="华文仿宋" w:eastAsia="华文仿宋" w:cs="华文仿宋"/>
          <w:b/>
          <w:bCs/>
          <w:sz w:val="32"/>
          <w:szCs w:val="32"/>
          <w:lang w:val="en-US" w:eastAsia="zh-CN"/>
        </w:rPr>
        <w:t>（八）、</w:t>
      </w:r>
      <w:r>
        <w:rPr>
          <w:rFonts w:hint="eastAsia" w:ascii="华文仿宋" w:hAnsi="华文仿宋" w:eastAsia="华文仿宋" w:cs="华文仿宋"/>
          <w:b/>
          <w:bCs/>
          <w:sz w:val="32"/>
          <w:szCs w:val="32"/>
        </w:rPr>
        <w:t>医院感染防控基石更加稳固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以“夯实基础筑防线，数说感控促发展”为目标，取得了突出成绩。黄子云同志荣获湖南省预防医学会感染控制分会青年论坛大赛特等奖，黄仁建、陈凤等多位同志受邀在全省进行授课或发表核心期刊论文，展现了医院感控专业水平。重点工作指标持续向好：住院患者抗菌药物治疗前病原学送检率（指向性）达50.5%，符合国家≥50%的要求；医院感染病例病原学送检率达98.3%，远超90%的国家标准。作为医院年度十大重点工作之一的“感术”行动深入推进，手术部位感染率（0.24%）、I类切口手术部位感染率（0.29%）等核心指标得到有效控制并持续监测。医院感染发生率与漏报率呈下降趋势，均控制在国家标准范围内。ICU“三管”感染目标性监测、I类切口SSI目标性监测、多重耐药菌管理等专项工作常态化开展，数据指导下的精准干预措施不断强化。全年完成手卫生时机调查2万余次，依从率达92.3%。成功应对了湖南省首例“基孔肯雅热”输入病例的诊疗与院内防控，实现了“患者痊愈、零感染、零扩散”的目标，应急处置能力经受住了考验。作为岳阳市唯一的省级“住院肺炎病例监测哨点医院”，相关工作已规范开展。</w:t>
      </w:r>
    </w:p>
    <w:p>
      <w:pPr>
        <w:jc w:val="center"/>
        <w:rPr>
          <w:rFonts w:hint="eastAsia" w:ascii="仿宋" w:hAnsi="仿宋" w:eastAsia="仿宋" w:cs="仿宋"/>
          <w:b/>
          <w:bCs/>
          <w:sz w:val="32"/>
          <w:szCs w:val="32"/>
          <w:lang w:eastAsia="zh-CN"/>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、优化体验，医疗服务效能实现新提升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医院始终致力于改善人民群众就医感受，通过流程再造、服务创新和人文关怀，不断提升服务温度和效率。</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（一）门诊服务创新与效率双突破。</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以“学科精进、服务提质、管理增效”为目标，实现了业务量、服务品质与患者口碑的协同增长。</w:t>
      </w:r>
      <w:r>
        <w:rPr>
          <w:rFonts w:hint="eastAsia" w:ascii="仿宋" w:hAnsi="仿宋" w:eastAsia="仿宋" w:cs="仿宋"/>
          <w:sz w:val="32"/>
          <w:szCs w:val="32"/>
          <w:lang w:val="en-US" w:eastAsia="zh-CN"/>
        </w:rPr>
        <w:t>全年共接诊门急诊病人82万人次，较去年同期增长18.3%；</w:t>
      </w:r>
      <w:r>
        <w:rPr>
          <w:rFonts w:hint="eastAsia" w:ascii="仿宋" w:hAnsi="仿宋" w:eastAsia="仿宋" w:cs="仿宋"/>
          <w:sz w:val="32"/>
          <w:szCs w:val="32"/>
        </w:rPr>
        <w:t>在业务量显著增长的同时，次均费用同比下降3.68%，预约诊疗率提升至53.5%，门诊电子病历书写率持续保持在96%以上，门诊患者满意度稳定在92%以上。学科建设方面，积极顺应疾病谱变化与患者需求，新增设青少年儿童心理门诊、眩晕门诊、睡眠门诊、职工保健门诊等特色专科，亚专科增至45个。打造的全市首个“一体化体重管理中心”，提供筛查、评估、诊疗、随访一站式服务，体重控制达标率达82%，其管理模式获《健康报》报道并在省市级学术会议推广，实践案例获省级优秀奖。服务流程优化成效显著：日间宫腔镜中心实现流程精细化与100%术后回访；药学门诊搬迁至药房隔壁，咨询量翻了两番，极大方便了患者；“一站式服务中心”枢纽作用强化，集业务办理、政策咨询、投诉初处、流程协调于一体，年服务咨询达数万人次；针对老年、残疾等特殊群体建立全流程陪诊服务体系，跨越“数字鸿沟”。健康教育工作常态化、多元化，全年开展健康讲座90余场，利用新媒体、宣教屏、手册等多种载体普及健康知识。</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（二）护理服务内涵与专业深度拓展。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以“推进卓越护理服务，提升专科护理能力”为主线，推动护理工作高质量发展。深入实施“1234”卓越护理服务举措（一特色、二关爱、三体验、四举措），通过拍摄宣教视频、开设延时门诊、赠送护理包、病房环境改造、优化手术室流程等具体行动，让服务更有温度。全力配合电子病历五级建设，优化了疼痛评估、护理风险告知、专科护理计划及输血闭环等护理信息系统功能。老年友善服务链建设稳步推进，在10个试点病房开展免陪护服务139人次，完成老年综合评估66例，出院准备度评估47例，促进了老年患者安全与康复。专科护理能力通过竞赛、培训、进修汇报等多种形式得以提升，护士在省市级技能竞赛中屡获佳绩。护理管理领导力培训已举办十二期，为培养护理骨干奠定了坚实基础。</w:t>
      </w:r>
    </w:p>
    <w:p>
      <w:pPr>
        <w:rPr>
          <w:rFonts w:hint="eastAsia" w:ascii="仿宋" w:hAnsi="仿宋" w:eastAsia="仿宋" w:cs="仿宋"/>
          <w:sz w:val="32"/>
          <w:szCs w:val="32"/>
          <w:lang w:eastAsia="zh-CN"/>
        </w:rPr>
      </w:pPr>
      <w:r>
        <w:rPr>
          <w:rFonts w:hint="eastAsia" w:ascii="仿宋" w:hAnsi="仿宋" w:eastAsia="仿宋" w:cs="仿宋"/>
          <w:b/>
          <w:bCs/>
          <w:sz w:val="32"/>
          <w:szCs w:val="32"/>
        </w:rPr>
        <w:t>（三）“互联网+医疗健康”服务半径持续延伸。</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互联网医院与远程医疗建设，有效扩大了医院服务可及性。互联网医院平台已上线34个科室、230名医生，提供在线问诊、处方开具、药品配送、报告查询等服务，年度网络问诊超6700人次。云影像服务普及，全院胶片打印率降至41.29%，在节约资源的同时方便了患者。云心电服务已覆盖8家医联体单位，完成远程诊断143例，促进了基层心电诊断水平提升。医联体建设扎实推进，全年新增签约单位8家，开展各类帮扶、培训、交流活动80余次。向18家基层医疗机构常态化派驻专家27名，每月帮扶超80人次，并落实30名主治医师全脱产对口支援12家基层医院，将优质技术沉到基层。双向转诊绿色通道保持24小时畅通，全年经社会服务部与急诊科协调转诊住院的患者超2100人，同时积极探索康复期患者下转机制，推动分级诊疗落到实处。</w:t>
      </w:r>
    </w:p>
    <w:p>
      <w:pPr>
        <w:rPr>
          <w:rFonts w:hint="eastAsia" w:ascii="仿宋" w:hAnsi="仿宋" w:eastAsia="仿宋" w:cs="仿宋"/>
          <w:b/>
          <w:bCs/>
          <w:sz w:val="32"/>
          <w:szCs w:val="32"/>
          <w:lang w:eastAsia="zh-CN"/>
        </w:rPr>
      </w:pPr>
      <w:r>
        <w:rPr>
          <w:rFonts w:hint="eastAsia" w:ascii="仿宋" w:hAnsi="仿宋" w:eastAsia="仿宋" w:cs="仿宋"/>
          <w:b/>
          <w:bCs/>
          <w:sz w:val="32"/>
          <w:szCs w:val="32"/>
        </w:rPr>
        <w:t>（四）药事管理与药学服务转型深化。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在保障临床供应的同时，深入推进以患者为中心的药学服务转型。药学门诊搬迁优化后，日均接待用药咨询约30人次，极大提升了门诊患者合理用药的可及性。临床药学服务深度与广度大幅拓展，住院诊查服务达2214次，参与院内会诊988人次、MDT及死亡病例讨论25人次，较去年同期成倍增长。处方点评与病历点评力度空前，1-11月完成门急诊处方点评8.5万余张、住院病历点评1.1万余份、在架病历点评1.8万余份，通过PDCA循环进行有效干预与质控。与医保部、运营部、医务部紧密联动，对精麻药品、抗肿瘤药物、辅助用药等进行重点监控与专项分析，相关药品使用金额得到有效控制，促进了全院药占比的合理下降与医保基金的合理使用。药物警戒工作扎实开展，上报药品不良反应328例。GCP工作在激烈的市场竞争中逆势而上，承接立项项目78项，同比增长26%，一期病房试验项目数也有所增加，体现了研究质量的吸引力。</w:t>
      </w:r>
    </w:p>
    <w:p>
      <w:pPr>
        <w:jc w:val="center"/>
        <w:rPr>
          <w:rFonts w:hint="eastAsia" w:ascii="仿宋" w:hAnsi="仿宋" w:eastAsia="仿宋" w:cs="仿宋"/>
          <w:b/>
          <w:bCs/>
          <w:sz w:val="32"/>
          <w:szCs w:val="32"/>
          <w:lang w:eastAsia="zh-CN"/>
        </w:rPr>
      </w:pPr>
      <w:r>
        <w:rPr>
          <w:rFonts w:hint="eastAsia" w:ascii="黑体" w:hAnsi="黑体" w:eastAsia="黑体" w:cs="黑体"/>
          <w:b/>
          <w:bCs/>
          <w:sz w:val="32"/>
          <w:szCs w:val="32"/>
          <w:lang w:val="en-US" w:eastAsia="zh-CN"/>
        </w:rPr>
        <w:t>四</w:t>
      </w:r>
      <w:r>
        <w:rPr>
          <w:rFonts w:hint="eastAsia" w:ascii="黑体" w:hAnsi="黑体" w:eastAsia="黑体" w:cs="黑体"/>
          <w:b/>
          <w:bCs/>
          <w:sz w:val="32"/>
          <w:szCs w:val="32"/>
        </w:rPr>
        <w:t>、精细管理，医院运营治理达到新水平</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面对日益严峻的运营压力和复杂的政策环境，医院向精细化管理要效益，着力提升内部治理现代化水平。</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（一）财务管理与成本控制精准有效。</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积极应对各项挑战，为医院稳健运行提供了坚实保障。圆满完成了市委巡察涉及财务历史问题的整改，并建立了长效机制。成功通过了国家审计署长沙特派办、市税务局等多轮高规格专项检查，展现了规范的财务管理水平。预算管理严格执行，“无预算不开支”原则得到贯彻，全年收入预算执行率达100%。在医保回款压力大、宏观经济承压的背景下，加强资金精细化调度，通过成功谈判将银行贷款利率降至2.75%左右，全年节约利息支出约23万元。服务流程持续优化，上线了门诊预交金线上退费功能，并积极探索手机端出院结算、银医合作等创新模式，提升患者便捷体验。会计核算基础不断夯实，高质量完成日常核算与大量报表编制工作。</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（二）医保支付改革（DIP）应对深入扎实。</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将DIP支付方式改革作为年度核心任务，特别是将CMI值偏低的呼吸诊疗中心作为重点帮扶对象，联合医务部、运营部数十次深入科室培训政策、分析数据、指导病历首页填写。面对1-6月数据亏损严重的压力，医保科花费近一个月时间，对全院1-9月共45800余条DIP数据进行了全面核查与重传，发现了主要手术操作漏传、填写顺序错误、漏填、病组选择不当等四大类问题，并逐一指导临床科室修正。通过持续的数据治理与精准辅导，医院CMI值由1.73显著提升至1.91，盈亏平衡点值得以优化，体现了病例结构与诊疗技术价值的改善。物价管理方面，全年调整和新增医疗服务价格目录300多条，确保了价格政策与医保支付的衔接。稽核力度不断加强，新增智能审核规则近30条，第三方审核扣费金额同比大幅下降64.5%，院内合规管控成效显著。积极应对各类飞行检查与专项整治，维护了医院与医保基金的安全。</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（三）资产、采购与审计监督规范增效。</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全年完成固定资产入库463项，组织开展了全面的资产清查工作，摸清了家底。规范执行招标采购流程，完成院内院外招标40项，组织洽谈议价84次，努力控制采购成本。审计部将监督关口前移，在工程及服务类项目合同签订前进行预算评审，从源头节约成本。全年完成工程预结算项目35个，审减85.3万元；完成保安、保洁等三大服务项目院内预算评审，审减51.09万元，有效节约了长期外包成本。参与了大量物资耗材洽谈与付款票据审核，严控不合理支出。医学装备部牵头构建多部门联动的医用耗材数据分析平台，破解信息孤岛。修订耗材管理办法，制定SPD服务商考核细则，推进高值耗材扫码计费与低值耗材精细化管理。通过试剂重招、参与集采、推广云胶片等措施，全年试剂与放射耗材同比节约超785万元。设备维修维保坚持成本管控，通过优化维保策略、开展自主维修、对大型配件进行深度维修等方式，在设备总量增加、老旧设备故障高发的情况下，实现了维保费用的显著下降与维修成本的整体可控。</w:t>
      </w:r>
    </w:p>
    <w:p>
      <w:pPr>
        <w:rPr>
          <w:rFonts w:hint="eastAsia" w:ascii="仿宋" w:hAnsi="仿宋" w:eastAsia="仿宋" w:cs="仿宋"/>
          <w:b/>
          <w:bCs/>
          <w:sz w:val="32"/>
          <w:szCs w:val="32"/>
          <w:lang w:eastAsia="zh-CN"/>
        </w:rPr>
      </w:pPr>
      <w:r>
        <w:rPr>
          <w:rFonts w:hint="eastAsia" w:ascii="仿宋" w:hAnsi="仿宋" w:eastAsia="仿宋" w:cs="仿宋"/>
          <w:b/>
          <w:bCs/>
          <w:sz w:val="32"/>
          <w:szCs w:val="32"/>
        </w:rPr>
        <w:t>（四）后勤保障与安全生产持续强化。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完成包括3号楼雨棚改造、北一门停车坪改造、疼痛科改造等在内的多项工程，保障了临床需求。主动作为，通过重新核定维修材料与人工费价格，切实降低了临床科室的运维成本。不断完善应急管理体系，组织人员参加省级紧急医学救援能力提升培训，开展了10余次“第一目击者”急救培训，覆盖近2000人。参加了省卫健委组织的防汛抗洪紧急医学救援演练并获得表扬。高效完成了第四届旅发会等20余次大型会议活动的现场医疗保障，并妥善处置了多起社会敏感事件的医疗调度与信息报告。新设立的湖南道路交通事故社会救助基金垫付事项，已成功为30余例患者申请垫付200余万元，发挥了救急纾困的作用。</w:t>
      </w:r>
    </w:p>
    <w:p>
      <w:pPr>
        <w:jc w:val="center"/>
        <w:rPr>
          <w:rFonts w:hint="eastAsia" w:ascii="仿宋" w:hAnsi="仿宋" w:eastAsia="仿宋" w:cs="仿宋"/>
          <w:b/>
          <w:bCs/>
          <w:sz w:val="32"/>
          <w:szCs w:val="32"/>
          <w:lang w:eastAsia="zh-CN"/>
        </w:rPr>
      </w:pPr>
      <w:r>
        <w:rPr>
          <w:rFonts w:hint="eastAsia" w:ascii="黑体" w:hAnsi="黑体" w:eastAsia="黑体" w:cs="黑体"/>
          <w:b/>
          <w:bCs/>
          <w:sz w:val="32"/>
          <w:szCs w:val="32"/>
        </w:rPr>
        <w:t>五、蓄势赋能，科教与人才工作积蓄新动能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医院坚持科技兴院、人才强院战略，为可持续发展注入源头活水。</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（一）药物临床试验（GCP）与科研工作稳步前行。</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医院</w:t>
      </w:r>
      <w:r>
        <w:rPr>
          <w:rFonts w:hint="eastAsia" w:ascii="仿宋" w:hAnsi="仿宋" w:eastAsia="仿宋" w:cs="仿宋"/>
          <w:sz w:val="32"/>
          <w:szCs w:val="32"/>
        </w:rPr>
        <w:t>伦理审查委员会全年召开审查会议15次，审查项目587项（含快速审查），确保了临床研究的科学与伦理合规。组织委员参加了多次国家级、省级伦理与GCP培训，提升了审查能力。药学部牵头的GCP工作克服市场“内卷”压力，承接项目数与合同金额均实现增长，显示了我院临床试验平台质量的吸引力。科研管理方面，修订了科研奖励办法，激发了科研热情。成功立项省级科研项目10项（含省自科基金8项）。病理诊断临床医疗技术示范基地获省级科研平台立项，新增3个市级科研平台。医院积极组织博士团队参加国家级项目申报培训，为冲击更高层次课题蓄力。全年承办各类省级、市级学术活动25场次，学术氛围浓厚。</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（二）人才引育与干部队伍建设系统推进。</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医院</w:t>
      </w:r>
      <w:r>
        <w:rPr>
          <w:rFonts w:hint="eastAsia" w:ascii="仿宋" w:hAnsi="仿宋" w:eastAsia="仿宋" w:cs="仿宋"/>
          <w:sz w:val="32"/>
          <w:szCs w:val="32"/>
        </w:rPr>
        <w:t>围绕医院发展，精准施策。全年引进博士/硕士研究生62名，紧缺专业技术人员3名，通过公开招聘解决15名职工编制，人员结构持续优化。成功推荐1人入选援外医疗队，完成了多名市管干部的考核与个人事项报告工作。干部选拔任用规范有序，全年选拔任用了30名德才兼备的中层干部。职称评审与岗位晋升工作公平公正开展，年内92人通过高级职称评审，105人完成岗位等级晋升。系统化的人才培养体系正在构建，新员工培训、干部网络学习、专业技术人员继续教育等覆盖全员。针对巡察反馈的选人用人问题，已制定措施并完成整改销号。</w:t>
      </w:r>
    </w:p>
    <w:p>
      <w:pPr>
        <w:jc w:val="center"/>
        <w:rPr>
          <w:rFonts w:hint="eastAsia" w:ascii="仿宋" w:hAnsi="仿宋" w:eastAsia="仿宋" w:cs="仿宋"/>
          <w:b/>
          <w:bCs/>
          <w:sz w:val="32"/>
          <w:szCs w:val="32"/>
          <w:lang w:eastAsia="zh-CN"/>
        </w:rPr>
      </w:pPr>
      <w:r>
        <w:rPr>
          <w:rFonts w:hint="eastAsia" w:ascii="黑体" w:hAnsi="黑体" w:eastAsia="黑体" w:cs="黑体"/>
          <w:b/>
          <w:bCs/>
          <w:sz w:val="32"/>
          <w:szCs w:val="32"/>
        </w:rPr>
        <w:t>六、正视挑战，深刻剖析存在的问题与不足</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在肯定成绩的同时，我们必须清醒地认识到医院在迈向高质量发展道路上仍面临诸多严峻挑战与内部短板：</w:t>
      </w:r>
    </w:p>
    <w:p>
      <w:pPr>
        <w:numPr>
          <w:ilvl w:val="0"/>
          <w:numId w:val="5"/>
        </w:numPr>
        <w:rPr>
          <w:rFonts w:hint="eastAsia" w:ascii="仿宋" w:hAnsi="仿宋" w:eastAsia="仿宋" w:cs="仿宋"/>
          <w:b/>
          <w:bCs/>
          <w:sz w:val="32"/>
          <w:szCs w:val="32"/>
        </w:rPr>
      </w:pPr>
      <w:r>
        <w:rPr>
          <w:rFonts w:hint="eastAsia" w:ascii="仿宋" w:hAnsi="仿宋" w:eastAsia="仿宋" w:cs="仿宋"/>
          <w:b/>
          <w:bCs/>
          <w:sz w:val="32"/>
          <w:szCs w:val="32"/>
        </w:rPr>
        <w:t>信息化建设滞后与协同困境凸显。</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由于年度核心软件采购计划中断，导致电子病历五级等评级所需的部分系统功能存在缺口，只能临时借用，客观上增加了2026年的建设压力。基础设施与运维面临挑战，云灾备仅完成一期，机房搬迁未实质推进，日常运维“救火”占用大量精力。更突出的是系统“孤岛”问题未根本解决，各部门独立建设现象突出，缺乏统一规划，导致数据标准混乱、存储分散，统计口径不一，“查询难、算不准”问题仍困扰临床与管理，形成了“规划-执行”脱节的恶性循环。网络安全设备虽经审批但未完全落地，三级等保基础薄弱，存在长期隐患。</w:t>
      </w:r>
    </w:p>
    <w:p>
      <w:pPr>
        <w:numPr>
          <w:ilvl w:val="0"/>
          <w:numId w:val="5"/>
        </w:numPr>
        <w:ind w:left="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运营压力与成本管控面临严峻考验。</w:t>
      </w:r>
    </w:p>
    <w:p>
      <w:pPr>
        <w:numPr>
          <w:ilvl w:val="0"/>
          <w:numId w:val="0"/>
        </w:numPr>
        <w:ind w:leftChars="0" w:firstLine="640" w:firstLineChars="200"/>
        <w:rPr>
          <w:rFonts w:hint="eastAsia" w:ascii="仿宋" w:hAnsi="仿宋" w:eastAsia="仿宋" w:cs="仿宋"/>
          <w:sz w:val="32"/>
          <w:szCs w:val="32"/>
        </w:rPr>
      </w:pPr>
      <w:r>
        <w:rPr>
          <w:rFonts w:hint="eastAsia" w:ascii="仿宋" w:hAnsi="仿宋" w:eastAsia="仿宋" w:cs="仿宋"/>
          <w:sz w:val="32"/>
          <w:szCs w:val="32"/>
        </w:rPr>
        <w:t>在DIP支付方式改革下，尽管通过努力使CMI值得以提升，但收治疑难危重病例比例高的科室（如呼吸病区）仍面临较大亏损压力。耗材管理虽有效果，但全年耗材总额同比仍增加443万余元，其中高值耗材增幅明显，疼痛科、神经外科等7个科室耗占比超标。带量集采耗材报量与使用存在脱节，临床替换使用未报量产品的情况影响整体任务完成。设备采购受资金审批流程延长（新增医保局环节）影响，周期平均延长1-2个月，部分大型“以旧换新”项目因资金未批复而无法实施，影响临床技术更新。</w:t>
      </w:r>
    </w:p>
    <w:p>
      <w:pPr>
        <w:numPr>
          <w:ilvl w:val="0"/>
          <w:numId w:val="5"/>
        </w:numPr>
        <w:ind w:left="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人才梯队与人力资源矛盾日益尖锐。</w:t>
      </w:r>
    </w:p>
    <w:p>
      <w:pPr>
        <w:numPr>
          <w:ilvl w:val="0"/>
          <w:numId w:val="0"/>
        </w:numPr>
        <w:ind w:leftChars="0" w:firstLine="640" w:firstLineChars="200"/>
        <w:rPr>
          <w:rFonts w:hint="eastAsia" w:ascii="仿宋" w:hAnsi="仿宋" w:eastAsia="仿宋" w:cs="仿宋"/>
          <w:sz w:val="32"/>
          <w:szCs w:val="32"/>
        </w:rPr>
      </w:pPr>
      <w:r>
        <w:rPr>
          <w:rFonts w:hint="eastAsia" w:ascii="仿宋" w:hAnsi="仿宋" w:eastAsia="仿宋" w:cs="仿宋"/>
          <w:sz w:val="32"/>
          <w:szCs w:val="32"/>
        </w:rPr>
        <w:t>医院高层次人才引进与重点学科发展的匹配度仍需加强，入选省级以上人才工程难度大。人力资源结构性短缺严重：信息工程部仅13人，需应对多项评级、系统升级、数据管理、安全合规等重任，核心开发仅1人；院感部人员年龄偏大，平均50岁，急需年轻力量；医学装备部、后勤服务部专业技术人才数量不足且老化；临床科室抽人参加应急培训、下乡支援时常面临困难。多重任务并行导致员工精力过度分散，核心工作节奏易被打乱。</w:t>
      </w:r>
    </w:p>
    <w:p>
      <w:pPr>
        <w:numPr>
          <w:ilvl w:val="0"/>
          <w:numId w:val="5"/>
        </w:numPr>
        <w:ind w:left="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内部协同与执行效能有待突破。</w:t>
      </w:r>
    </w:p>
    <w:p>
      <w:pPr>
        <w:numPr>
          <w:ilvl w:val="0"/>
          <w:numId w:val="0"/>
        </w:numPr>
        <w:ind w:leftChars="0" w:firstLine="640" w:firstLineChars="200"/>
        <w:rPr>
          <w:rFonts w:hint="eastAsia" w:ascii="仿宋" w:hAnsi="仿宋" w:eastAsia="仿宋" w:cs="仿宋"/>
          <w:sz w:val="32"/>
          <w:szCs w:val="32"/>
        </w:rPr>
      </w:pPr>
      <w:r>
        <w:rPr>
          <w:rFonts w:hint="eastAsia" w:ascii="仿宋" w:hAnsi="仿宋" w:eastAsia="仿宋" w:cs="仿宋"/>
          <w:sz w:val="32"/>
          <w:szCs w:val="32"/>
        </w:rPr>
        <w:t>跨部门、跨层级沟通成本高昂，数据中心建设、系统升级等关键方案常因理解不一、配合不力而受阻。部分项目存在规划漏洞，如医保预警系统未同步规划配套资源，落地时被迫启动额外流程。多部门协同机制在重大保障任务、数据治理、耗材管控等方面仍需深化，易出现责任边界模糊、联动不足的问题。与部分供应商因款项等问题关系紧张，影响了外部技术支持的稳定性。</w:t>
      </w:r>
    </w:p>
    <w:p>
      <w:pPr>
        <w:numPr>
          <w:ilvl w:val="0"/>
          <w:numId w:val="5"/>
        </w:numPr>
        <w:ind w:left="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基础服务与患者体验仍有提升空间。</w:t>
      </w:r>
    </w:p>
    <w:p>
      <w:pPr>
        <w:numPr>
          <w:ilvl w:val="0"/>
          <w:numId w:val="0"/>
        </w:numPr>
        <w:ind w:leftChars="0" w:firstLine="640" w:firstLineChars="200"/>
        <w:rPr>
          <w:rFonts w:hint="eastAsia" w:ascii="仿宋" w:hAnsi="仿宋" w:eastAsia="仿宋" w:cs="仿宋"/>
          <w:sz w:val="32"/>
          <w:szCs w:val="32"/>
        </w:rPr>
      </w:pPr>
      <w:r>
        <w:rPr>
          <w:rFonts w:hint="eastAsia" w:ascii="仿宋" w:hAnsi="仿宋" w:eastAsia="仿宋" w:cs="仿宋"/>
          <w:sz w:val="32"/>
          <w:szCs w:val="32"/>
        </w:rPr>
        <w:t>财务窗口因省医保平台网络问题、HIS系统与医保模块数据交换故障以及退费流程复杂，仍不时出现拥堵和投诉。医保政策在临床科室落地的“最后一公里”存在梗阻，医生对政策理解偏差或重视不够，导致患者往返补材料，引发不满。传染病医生报卡依从性仍有提升空间，迟报漏报现象依然存在。患者平均等候时间同比有所增加，门诊多学科协作（MDT）会诊量下降，医疗质量精细化管控力度需加强。</w:t>
      </w:r>
    </w:p>
    <w:p>
      <w:pPr>
        <w:jc w:val="center"/>
        <w:rPr>
          <w:rFonts w:hint="eastAsia" w:ascii="黑体" w:hAnsi="黑体" w:eastAsia="黑体" w:cs="黑体"/>
          <w:b/>
          <w:bCs/>
          <w:sz w:val="32"/>
          <w:szCs w:val="32"/>
          <w:lang w:eastAsia="zh-CN"/>
        </w:rPr>
      </w:pPr>
      <w:r>
        <w:rPr>
          <w:rFonts w:hint="eastAsia" w:ascii="黑体" w:hAnsi="黑体" w:eastAsia="黑体" w:cs="黑体"/>
          <w:b/>
          <w:bCs/>
          <w:sz w:val="32"/>
          <w:szCs w:val="32"/>
        </w:rPr>
        <w:t>七、展望未来，2026年重点工作规划与战略布局</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2026年，医院将坚持稳中求进、以进促稳、先立后破的总基调，以“小步快跑、精准投入”为策略，聚焦以下重点方向，奋力开创高质量发展新局面：</w:t>
      </w:r>
    </w:p>
    <w:p>
      <w:pPr>
        <w:rPr>
          <w:rFonts w:hint="eastAsia" w:ascii="仿宋" w:hAnsi="仿宋" w:eastAsia="仿宋" w:cs="仿宋"/>
          <w:sz w:val="32"/>
          <w:szCs w:val="32"/>
          <w:lang w:eastAsia="zh-CN"/>
        </w:rPr>
      </w:pPr>
      <w:r>
        <w:rPr>
          <w:rFonts w:hint="eastAsia" w:ascii="仿宋" w:hAnsi="仿宋" w:eastAsia="仿宋" w:cs="仿宋"/>
          <w:b/>
          <w:bCs/>
          <w:sz w:val="32"/>
          <w:szCs w:val="32"/>
        </w:rPr>
        <w:t>（一）聚焦评级攻坚与信息化“补课”，夯实智慧医院底座。</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首要任务是确保电子病历五级正式申报成功，并通过互联互通四甲现场评审。针对2025年的软件功能缺口，优先推进床位管理中心、血液净化信息系统升级等“补课”项目，确保精准匹配评级标准与临床需求。摒弃“批量采购”思维，根据业务实际按需增补服务器、存储等基础设施。围绕三级等保中评目标，精准采购关键安全设备，建立季度漏洞扫描、年度应急演练机制，引入专业安全管理服务，筑牢安全底线。强化跨部门协同，建立“月度小沟通、季度大协调”机制，重点破解数据治理难题，优先统一病理、放疗等临床高需求数据的录入与统计标准，逐步实现数据“查得准、用得上”。</w:t>
      </w:r>
    </w:p>
    <w:p>
      <w:pPr>
        <w:rPr>
          <w:rFonts w:hint="eastAsia" w:ascii="仿宋" w:hAnsi="仿宋" w:eastAsia="仿宋" w:cs="仿宋"/>
          <w:sz w:val="32"/>
          <w:szCs w:val="32"/>
          <w:lang w:eastAsia="zh-CN"/>
        </w:rPr>
      </w:pPr>
      <w:r>
        <w:rPr>
          <w:rFonts w:hint="eastAsia" w:ascii="仿宋" w:hAnsi="仿宋" w:eastAsia="仿宋" w:cs="仿宋"/>
          <w:b/>
          <w:bCs/>
          <w:sz w:val="32"/>
          <w:szCs w:val="32"/>
        </w:rPr>
        <w:t>（二）深化医保支付改革与运营精益管理，提升可持续发展能力。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持续深化DIP支付方式改革，总结呼吸病区帮扶经验，向全院推广。积极对接DIP3.0版本，争取政策红利。完善临床路径管理，将其作为规范诊疗、控制成本的核心工具。加强病案首页质量管理，将其视为“医保结算的发票”。耗材管理方面，搭建全院带量耗材管理平台，实现全生命周期管理；严格管控耗材品规，规范新品试用流程；依托数据分析平台，对高耗占比科室及DIP亏损病组进行重点监控与询价优化。设备采购需提前建立跨部门资金协调机制，优化审批流程沟通。财务上将强化科研与重点专科的单独核算，创新资金管理手段，并着力解决窗口服务的系统瓶颈问题。</w:t>
      </w:r>
    </w:p>
    <w:p>
      <w:pPr>
        <w:rPr>
          <w:rFonts w:hint="eastAsia" w:ascii="仿宋" w:hAnsi="仿宋" w:eastAsia="仿宋" w:cs="仿宋"/>
          <w:b/>
          <w:bCs/>
          <w:sz w:val="32"/>
          <w:szCs w:val="32"/>
          <w:lang w:eastAsia="zh-CN"/>
        </w:rPr>
      </w:pPr>
      <w:r>
        <w:rPr>
          <w:rFonts w:hint="eastAsia" w:ascii="仿宋" w:hAnsi="仿宋" w:eastAsia="仿宋" w:cs="仿宋"/>
          <w:b/>
          <w:bCs/>
          <w:sz w:val="32"/>
          <w:szCs w:val="32"/>
        </w:rPr>
        <w:t>（三）实施人才精准引育与激励工程，激发内生动力。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组织人事部将构建“引育留用”全链条人才体系。精准引才，聚焦国家级、省级重点专科培育方向制定高端人才目录，拓展引才渠道。系统育才，完善新职工培训，实施“普济人才”培养计划，加强对外交流。科学用才，完善职称评审标准，强化临床实践与医德医风评价。着力建设高素质干部队伍，优化选拔机制，实施干部能力淬炼计划，强化从严管理监督。同时，关心关爱职工，拓展职业发展通道，提升全员获得感与归属感。</w:t>
      </w:r>
    </w:p>
    <w:p>
      <w:pPr>
        <w:rPr>
          <w:rFonts w:hint="eastAsia" w:ascii="仿宋" w:hAnsi="仿宋" w:eastAsia="仿宋" w:cs="仿宋"/>
          <w:b/>
          <w:bCs/>
          <w:sz w:val="32"/>
          <w:szCs w:val="32"/>
          <w:lang w:eastAsia="zh-CN"/>
        </w:rPr>
      </w:pPr>
      <w:r>
        <w:rPr>
          <w:rFonts w:hint="eastAsia" w:ascii="仿宋" w:hAnsi="仿宋" w:eastAsia="仿宋" w:cs="仿宋"/>
          <w:b/>
          <w:bCs/>
          <w:sz w:val="32"/>
          <w:szCs w:val="32"/>
        </w:rPr>
        <w:t>（四）强化质量安全与患者体验双驱动，打造卓越服务品牌。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医疗质量安全常抓不懈，持续推进患者安全专项行动，将不良事件管理深度融入质量改进。院感防控聚焦“感术”行动、病原学送检率及ICU“三管”感染控制，提升多部门协作（MDT）解决疑难感控问题的能力。患者服务体验方面，门诊部将持续缩短患者等候时间，深化学科建设，大力推广MDT诊疗模式，并将人文关怀更深融入服务各环节。护理部将继续深化卓越护理与老年友善服务。互联网医院将加强医院主导的运营监督，力推与HIS系统互联互通，提升使用便捷性与患者黏性。</w:t>
      </w:r>
    </w:p>
    <w:p>
      <w:pPr>
        <w:rPr>
          <w:rFonts w:hint="eastAsia" w:ascii="仿宋" w:hAnsi="仿宋" w:eastAsia="仿宋" w:cs="仿宋"/>
          <w:sz w:val="32"/>
          <w:szCs w:val="32"/>
          <w:lang w:eastAsia="zh-CN"/>
        </w:rPr>
      </w:pPr>
      <w:r>
        <w:rPr>
          <w:rFonts w:hint="eastAsia" w:ascii="仿宋" w:hAnsi="仿宋" w:eastAsia="仿宋" w:cs="仿宋"/>
          <w:b/>
          <w:bCs/>
          <w:sz w:val="32"/>
          <w:szCs w:val="32"/>
        </w:rPr>
        <w:t>（五）坚持党建引领与文化建设深度融合，营造优良政治生态与发展环境。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持续巩固巡察整改成果，推动长效机制建设。将“履职用权负面清单”管理制度真正落地见效，融入日常监督与考核。深化廉洁文化与医德医风建设，打造具有医疗行业特色的清廉品牌。加强意识形态阵地管理，讲好人医故事，传播行业正能量。丰富职工文化生活，关注青年职工成长，解决职工急难愁盼问题，持续提升队伍凝聚力与向心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征程万里风正劲，重任千钧再出发。站在新的历史起点，岳阳市人民医院全体干部职工将继续在市委、市政府和市卫健委的领导下，秉承“博爱、诚信、务实、创新”的院训，以永不懈怠的精神状态和一往无前的奋斗姿态，踔厉奋发，笃行不怠，全力谱写医院高质量发展的崭新篇章，为健康岳阳、健康湖南建设贡献更大的力量！</w:t>
      </w:r>
    </w:p>
    <w:p>
      <w:pPr>
        <w:pStyle w:val="5"/>
      </w:pP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ind w:firstLine="640" w:firstLineChars="200"/>
        <w:rPr>
          <w:rFonts w:ascii="宋体" w:hAnsi="宋体" w:cs="宋体"/>
          <w:sz w:val="32"/>
          <w:szCs w:val="32"/>
        </w:rPr>
      </w:pPr>
      <w:r>
        <w:rPr>
          <w:rFonts w:hint="eastAsia" w:eastAsia="仿宋" w:cs="仿宋"/>
          <w:sz w:val="32"/>
          <w:szCs w:val="32"/>
        </w:rPr>
        <w:t>由于专项资金未能列入年初预算内，存在财政项目收入未拨付到位前支出实际发生时未计入项目支出，而仅当财政项目收入拨付到位后发生的支出才计入项目支出。</w:t>
      </w:r>
    </w:p>
    <w:p>
      <w:pPr>
        <w:widowControl/>
        <w:spacing w:line="6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八、</w:t>
      </w:r>
      <w:r>
        <w:rPr>
          <w:rFonts w:ascii="Times New Roman" w:hAnsi="Times New Roman" w:eastAsia="黑体"/>
          <w:sz w:val="32"/>
          <w:szCs w:val="32"/>
        </w:rPr>
        <w:t>下一步改进措施</w:t>
      </w:r>
    </w:p>
    <w:p>
      <w:pPr>
        <w:ind w:firstLine="640" w:firstLineChars="200"/>
        <w:rPr>
          <w:rFonts w:eastAsia="仿宋" w:cs="仿宋"/>
          <w:sz w:val="32"/>
          <w:szCs w:val="32"/>
        </w:rPr>
      </w:pPr>
      <w:r>
        <w:rPr>
          <w:rFonts w:hint="eastAsia" w:eastAsia="仿宋" w:cs="仿宋"/>
          <w:sz w:val="32"/>
          <w:szCs w:val="32"/>
        </w:rPr>
        <w:t>对拨付的专项资金能够及时获取相关业务部门的拨付批文，可以进一步明确专项资金的使用开支范围，防范资金使用违规风险。</w:t>
      </w:r>
    </w:p>
    <w:p>
      <w:pPr>
        <w:widowControl/>
        <w:spacing w:line="640" w:lineRule="exact"/>
        <w:ind w:left="560" w:leftChars="200"/>
        <w:rPr>
          <w:rFonts w:ascii="Times New Roman" w:hAnsi="Times New Roman" w:eastAsia="黑体"/>
          <w:sz w:val="32"/>
          <w:szCs w:val="32"/>
        </w:rPr>
      </w:pPr>
      <w:r>
        <w:rPr>
          <w:rFonts w:hint="eastAsia" w:ascii="Times New Roman" w:hAnsi="Times New Roman" w:eastAsia="黑体"/>
          <w:sz w:val="32"/>
          <w:szCs w:val="32"/>
        </w:rPr>
        <w:t>九、</w:t>
      </w:r>
      <w:r>
        <w:rPr>
          <w:rFonts w:ascii="Times New Roman" w:hAnsi="Times New Roman" w:eastAsia="黑体"/>
          <w:sz w:val="32"/>
          <w:szCs w:val="32"/>
        </w:rPr>
        <w:t>部门整体支出绩效自评结果拟应用和公开情况</w:t>
      </w:r>
    </w:p>
    <w:p>
      <w:pPr>
        <w:pStyle w:val="3"/>
        <w:spacing w:line="240" w:lineRule="auto"/>
        <w:ind w:firstLine="640" w:firstLineChars="200"/>
        <w:rPr>
          <w:rFonts w:ascii="仿宋" w:hAnsi="仿宋" w:eastAsia="仿宋" w:cs="仿宋"/>
          <w:sz w:val="32"/>
          <w:szCs w:val="32"/>
        </w:rPr>
      </w:pPr>
      <w:r>
        <w:rPr>
          <w:rFonts w:hint="eastAsia" w:ascii="仿宋" w:hAnsi="仿宋" w:eastAsia="仿宋" w:cs="仿宋"/>
          <w:sz w:val="32"/>
          <w:szCs w:val="32"/>
        </w:rPr>
        <w:t>全面公开绩效自评报告，将部门整体支出绩效自评报告在本部门的门户网站公开，接受社会监督。</w:t>
      </w:r>
    </w:p>
    <w:p>
      <w:pPr>
        <w:pStyle w:val="3"/>
        <w:ind w:left="560" w:leftChars="200"/>
      </w:pP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1.部门整体支出绩效评价基础数据表</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2.部门整体支出绩效自评表</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3.项目支出绩效自评表（一个一级项目支出一张表）</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4.政府性基金预算支出情况表</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5.国有资本经营预算支出情况表</w:t>
      </w:r>
    </w:p>
    <w:p>
      <w:pPr>
        <w:widowControl/>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6.社会保险基金预算支出情况表</w:t>
      </w:r>
    </w:p>
    <w:p>
      <w:pPr>
        <w:widowControl/>
        <w:spacing w:line="640" w:lineRule="exact"/>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3D684"/>
    <w:multiLevelType w:val="singleLevel"/>
    <w:tmpl w:val="A7D3D684"/>
    <w:lvl w:ilvl="0" w:tentative="0">
      <w:start w:val="2"/>
      <w:numFmt w:val="chineseCounting"/>
      <w:suff w:val="nothing"/>
      <w:lvlText w:val="（%1）"/>
      <w:lvlJc w:val="left"/>
      <w:rPr>
        <w:rFonts w:hint="eastAsia"/>
      </w:rPr>
    </w:lvl>
  </w:abstractNum>
  <w:abstractNum w:abstractNumId="1">
    <w:nsid w:val="AA7BBF8D"/>
    <w:multiLevelType w:val="singleLevel"/>
    <w:tmpl w:val="AA7BBF8D"/>
    <w:lvl w:ilvl="0" w:tentative="0">
      <w:start w:val="1"/>
      <w:numFmt w:val="decimal"/>
      <w:suff w:val="nothing"/>
      <w:lvlText w:val="%1."/>
      <w:lvlJc w:val="left"/>
    </w:lvl>
  </w:abstractNum>
  <w:abstractNum w:abstractNumId="2">
    <w:nsid w:val="CC685C25"/>
    <w:multiLevelType w:val="singleLevel"/>
    <w:tmpl w:val="CC685C25"/>
    <w:lvl w:ilvl="0" w:tentative="0">
      <w:start w:val="1"/>
      <w:numFmt w:val="chineseCounting"/>
      <w:suff w:val="nothing"/>
      <w:lvlText w:val="（%1）"/>
      <w:lvlJc w:val="left"/>
      <w:rPr>
        <w:rFonts w:hint="eastAsia"/>
      </w:rPr>
    </w:lvl>
  </w:abstractNum>
  <w:abstractNum w:abstractNumId="3">
    <w:nsid w:val="07EB4C32"/>
    <w:multiLevelType w:val="singleLevel"/>
    <w:tmpl w:val="07EB4C32"/>
    <w:lvl w:ilvl="0" w:tentative="0">
      <w:start w:val="1"/>
      <w:numFmt w:val="chineseCounting"/>
      <w:suff w:val="nothing"/>
      <w:lvlText w:val="%1、"/>
      <w:lvlJc w:val="left"/>
      <w:rPr>
        <w:rFonts w:hint="eastAsia"/>
      </w:rPr>
    </w:lvl>
  </w:abstractNum>
  <w:abstractNum w:abstractNumId="4">
    <w:nsid w:val="20EED7D5"/>
    <w:multiLevelType w:val="singleLevel"/>
    <w:tmpl w:val="20EED7D5"/>
    <w:lvl w:ilvl="0" w:tentative="0">
      <w:start w:val="1"/>
      <w:numFmt w:val="decimal"/>
      <w:suff w:val="nothing"/>
      <w:lvlText w:val="%1."/>
      <w:lvlJc w:val="left"/>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hYmM5ZGYyMWMwZmNkZjM2M2MyYTJhMjYwN2ZiOGIifQ=="/>
  </w:docVars>
  <w:rsids>
    <w:rsidRoot w:val="59886344"/>
    <w:rsid w:val="00045C41"/>
    <w:rsid w:val="000A33B3"/>
    <w:rsid w:val="001255FA"/>
    <w:rsid w:val="00143E0C"/>
    <w:rsid w:val="00165F76"/>
    <w:rsid w:val="00193EF9"/>
    <w:rsid w:val="001C1AD0"/>
    <w:rsid w:val="001D54BB"/>
    <w:rsid w:val="00237A6E"/>
    <w:rsid w:val="002C4449"/>
    <w:rsid w:val="00306185"/>
    <w:rsid w:val="00360AFE"/>
    <w:rsid w:val="0039015F"/>
    <w:rsid w:val="003B2451"/>
    <w:rsid w:val="003C2EDD"/>
    <w:rsid w:val="003C7743"/>
    <w:rsid w:val="003F00FB"/>
    <w:rsid w:val="0040610C"/>
    <w:rsid w:val="00423C6D"/>
    <w:rsid w:val="0043096F"/>
    <w:rsid w:val="00470E57"/>
    <w:rsid w:val="00475A3F"/>
    <w:rsid w:val="00520730"/>
    <w:rsid w:val="00570FD7"/>
    <w:rsid w:val="005933BE"/>
    <w:rsid w:val="005F238A"/>
    <w:rsid w:val="006B6B46"/>
    <w:rsid w:val="006B7D8E"/>
    <w:rsid w:val="006C409C"/>
    <w:rsid w:val="006C6060"/>
    <w:rsid w:val="00702C48"/>
    <w:rsid w:val="0071271E"/>
    <w:rsid w:val="00731080"/>
    <w:rsid w:val="00756D7F"/>
    <w:rsid w:val="00777187"/>
    <w:rsid w:val="007B3260"/>
    <w:rsid w:val="007E5DD6"/>
    <w:rsid w:val="00812120"/>
    <w:rsid w:val="00820D15"/>
    <w:rsid w:val="00823B46"/>
    <w:rsid w:val="008370B5"/>
    <w:rsid w:val="008B3AAC"/>
    <w:rsid w:val="008E68FF"/>
    <w:rsid w:val="009937AB"/>
    <w:rsid w:val="009A266F"/>
    <w:rsid w:val="009C0CE7"/>
    <w:rsid w:val="00A0026E"/>
    <w:rsid w:val="00A12AF2"/>
    <w:rsid w:val="00AB1812"/>
    <w:rsid w:val="00AE6F88"/>
    <w:rsid w:val="00B20A8F"/>
    <w:rsid w:val="00B236DC"/>
    <w:rsid w:val="00B31368"/>
    <w:rsid w:val="00B85693"/>
    <w:rsid w:val="00BC7BFF"/>
    <w:rsid w:val="00BF52BD"/>
    <w:rsid w:val="00C27665"/>
    <w:rsid w:val="00C4175C"/>
    <w:rsid w:val="00CB603B"/>
    <w:rsid w:val="00CF5C1C"/>
    <w:rsid w:val="00CF7381"/>
    <w:rsid w:val="00D155A5"/>
    <w:rsid w:val="00D224C3"/>
    <w:rsid w:val="00D566E6"/>
    <w:rsid w:val="00DD1011"/>
    <w:rsid w:val="00DD4A42"/>
    <w:rsid w:val="00E21865"/>
    <w:rsid w:val="00E70736"/>
    <w:rsid w:val="00E901B0"/>
    <w:rsid w:val="00EC0FC0"/>
    <w:rsid w:val="00EC43C4"/>
    <w:rsid w:val="00ED79E5"/>
    <w:rsid w:val="00EF7950"/>
    <w:rsid w:val="00F00709"/>
    <w:rsid w:val="00F15ACE"/>
    <w:rsid w:val="00F21549"/>
    <w:rsid w:val="00FA4286"/>
    <w:rsid w:val="00FA5D66"/>
    <w:rsid w:val="00FA70A2"/>
    <w:rsid w:val="00FC6FE1"/>
    <w:rsid w:val="01253372"/>
    <w:rsid w:val="01543C57"/>
    <w:rsid w:val="016F0A91"/>
    <w:rsid w:val="017C6D0A"/>
    <w:rsid w:val="01A56261"/>
    <w:rsid w:val="01C40DDD"/>
    <w:rsid w:val="020C62E0"/>
    <w:rsid w:val="021F6013"/>
    <w:rsid w:val="026779BA"/>
    <w:rsid w:val="02924A37"/>
    <w:rsid w:val="029A38EC"/>
    <w:rsid w:val="02D212D8"/>
    <w:rsid w:val="03353615"/>
    <w:rsid w:val="03563CB7"/>
    <w:rsid w:val="038F0F77"/>
    <w:rsid w:val="03A86200"/>
    <w:rsid w:val="03AE7F16"/>
    <w:rsid w:val="042E69E2"/>
    <w:rsid w:val="042F4508"/>
    <w:rsid w:val="04702B56"/>
    <w:rsid w:val="04765418"/>
    <w:rsid w:val="049C1B9D"/>
    <w:rsid w:val="049D5915"/>
    <w:rsid w:val="04B213C1"/>
    <w:rsid w:val="04D37589"/>
    <w:rsid w:val="04DE21B6"/>
    <w:rsid w:val="04E23328"/>
    <w:rsid w:val="0523406D"/>
    <w:rsid w:val="052D6C99"/>
    <w:rsid w:val="05A30D0A"/>
    <w:rsid w:val="061D0ABC"/>
    <w:rsid w:val="066A7A79"/>
    <w:rsid w:val="069C40D7"/>
    <w:rsid w:val="06CB49BC"/>
    <w:rsid w:val="06FF01C2"/>
    <w:rsid w:val="073A569E"/>
    <w:rsid w:val="0749768F"/>
    <w:rsid w:val="078D1C71"/>
    <w:rsid w:val="07F10452"/>
    <w:rsid w:val="07F910B5"/>
    <w:rsid w:val="07F97307"/>
    <w:rsid w:val="08071A24"/>
    <w:rsid w:val="08206641"/>
    <w:rsid w:val="089D5EE4"/>
    <w:rsid w:val="08BF5E5A"/>
    <w:rsid w:val="08C16076"/>
    <w:rsid w:val="09173EE8"/>
    <w:rsid w:val="091E5277"/>
    <w:rsid w:val="094D1DC1"/>
    <w:rsid w:val="09544359"/>
    <w:rsid w:val="09975029"/>
    <w:rsid w:val="099913C7"/>
    <w:rsid w:val="0A110938"/>
    <w:rsid w:val="0A287A2F"/>
    <w:rsid w:val="0A2F7010"/>
    <w:rsid w:val="0A650C83"/>
    <w:rsid w:val="0A654D73"/>
    <w:rsid w:val="0A9D041D"/>
    <w:rsid w:val="0B2E5519"/>
    <w:rsid w:val="0B422D73"/>
    <w:rsid w:val="0B5036E2"/>
    <w:rsid w:val="0B505490"/>
    <w:rsid w:val="0B7D3DAB"/>
    <w:rsid w:val="0BB023D2"/>
    <w:rsid w:val="0BCB0FBA"/>
    <w:rsid w:val="0BD04822"/>
    <w:rsid w:val="0BDC6D23"/>
    <w:rsid w:val="0BEA7692"/>
    <w:rsid w:val="0BF503CF"/>
    <w:rsid w:val="0BFC1173"/>
    <w:rsid w:val="0C087B18"/>
    <w:rsid w:val="0C5E3BDC"/>
    <w:rsid w:val="0C994C14"/>
    <w:rsid w:val="0CAC0DEC"/>
    <w:rsid w:val="0D074274"/>
    <w:rsid w:val="0D38442D"/>
    <w:rsid w:val="0D3B5CCB"/>
    <w:rsid w:val="0D562B05"/>
    <w:rsid w:val="0D907DC5"/>
    <w:rsid w:val="0DC3019B"/>
    <w:rsid w:val="0DD26630"/>
    <w:rsid w:val="0DE40111"/>
    <w:rsid w:val="0E0B7D94"/>
    <w:rsid w:val="0E122ED0"/>
    <w:rsid w:val="0F8C0A60"/>
    <w:rsid w:val="0FB73D2F"/>
    <w:rsid w:val="10376C1E"/>
    <w:rsid w:val="10710382"/>
    <w:rsid w:val="1074577C"/>
    <w:rsid w:val="10AD5132"/>
    <w:rsid w:val="10BE2E9B"/>
    <w:rsid w:val="10E16B8A"/>
    <w:rsid w:val="11162CD7"/>
    <w:rsid w:val="11301FEB"/>
    <w:rsid w:val="11365128"/>
    <w:rsid w:val="11407D54"/>
    <w:rsid w:val="11875983"/>
    <w:rsid w:val="119A7465"/>
    <w:rsid w:val="11A025A1"/>
    <w:rsid w:val="11A41E98"/>
    <w:rsid w:val="11A71B81"/>
    <w:rsid w:val="11DA1F57"/>
    <w:rsid w:val="11E626AA"/>
    <w:rsid w:val="11F7111E"/>
    <w:rsid w:val="11FA43A7"/>
    <w:rsid w:val="12192A7F"/>
    <w:rsid w:val="12307DC9"/>
    <w:rsid w:val="12415B32"/>
    <w:rsid w:val="125C471A"/>
    <w:rsid w:val="12687563"/>
    <w:rsid w:val="12922832"/>
    <w:rsid w:val="12CD5618"/>
    <w:rsid w:val="12EA61CA"/>
    <w:rsid w:val="12EC1F42"/>
    <w:rsid w:val="12F708E7"/>
    <w:rsid w:val="134C0C32"/>
    <w:rsid w:val="13550837"/>
    <w:rsid w:val="1376180B"/>
    <w:rsid w:val="13BB36C2"/>
    <w:rsid w:val="13BB7B66"/>
    <w:rsid w:val="13F217DA"/>
    <w:rsid w:val="14067033"/>
    <w:rsid w:val="14072DAB"/>
    <w:rsid w:val="146B333A"/>
    <w:rsid w:val="150F0169"/>
    <w:rsid w:val="151A266A"/>
    <w:rsid w:val="154D0C92"/>
    <w:rsid w:val="155913E5"/>
    <w:rsid w:val="15673B02"/>
    <w:rsid w:val="156C589B"/>
    <w:rsid w:val="1585667E"/>
    <w:rsid w:val="158C3568"/>
    <w:rsid w:val="15941017"/>
    <w:rsid w:val="15973CBB"/>
    <w:rsid w:val="15CB5974"/>
    <w:rsid w:val="16534086"/>
    <w:rsid w:val="165F0C7D"/>
    <w:rsid w:val="167A1613"/>
    <w:rsid w:val="16832BBD"/>
    <w:rsid w:val="16881F81"/>
    <w:rsid w:val="16976668"/>
    <w:rsid w:val="16A843D2"/>
    <w:rsid w:val="16BF796D"/>
    <w:rsid w:val="17424826"/>
    <w:rsid w:val="17591B70"/>
    <w:rsid w:val="175C51BC"/>
    <w:rsid w:val="17F51899"/>
    <w:rsid w:val="182E4DAB"/>
    <w:rsid w:val="18910E95"/>
    <w:rsid w:val="18A24E51"/>
    <w:rsid w:val="18F41B50"/>
    <w:rsid w:val="19353F17"/>
    <w:rsid w:val="198804EA"/>
    <w:rsid w:val="19BD63E6"/>
    <w:rsid w:val="19C239FC"/>
    <w:rsid w:val="19C84D8B"/>
    <w:rsid w:val="1A0758B3"/>
    <w:rsid w:val="1A642D06"/>
    <w:rsid w:val="1A9A6727"/>
    <w:rsid w:val="1AA03612"/>
    <w:rsid w:val="1ABA46D4"/>
    <w:rsid w:val="1AF776D6"/>
    <w:rsid w:val="1B010554"/>
    <w:rsid w:val="1B4072CF"/>
    <w:rsid w:val="1B4A3CA9"/>
    <w:rsid w:val="1B8D1DE8"/>
    <w:rsid w:val="1B9958A6"/>
    <w:rsid w:val="1BAC6712"/>
    <w:rsid w:val="1BB455C7"/>
    <w:rsid w:val="1BFE2CE6"/>
    <w:rsid w:val="1C0F0A4F"/>
    <w:rsid w:val="1CA613B3"/>
    <w:rsid w:val="1CFF6D16"/>
    <w:rsid w:val="1D50131F"/>
    <w:rsid w:val="1D507571"/>
    <w:rsid w:val="1D886D0B"/>
    <w:rsid w:val="1D9E02DC"/>
    <w:rsid w:val="1DF24184"/>
    <w:rsid w:val="1E1265D5"/>
    <w:rsid w:val="1E236A34"/>
    <w:rsid w:val="1E2E78B2"/>
    <w:rsid w:val="1E380731"/>
    <w:rsid w:val="1E530268"/>
    <w:rsid w:val="1E557969"/>
    <w:rsid w:val="1E58492F"/>
    <w:rsid w:val="1E6C2189"/>
    <w:rsid w:val="1EAC4C7B"/>
    <w:rsid w:val="1EBB4EBE"/>
    <w:rsid w:val="1ECE699F"/>
    <w:rsid w:val="1F8452B0"/>
    <w:rsid w:val="1F8B4890"/>
    <w:rsid w:val="1FA0658E"/>
    <w:rsid w:val="1FA6791C"/>
    <w:rsid w:val="1FD46237"/>
    <w:rsid w:val="1FEA5A5B"/>
    <w:rsid w:val="2040567B"/>
    <w:rsid w:val="20476A09"/>
    <w:rsid w:val="204D5FEA"/>
    <w:rsid w:val="20D364EF"/>
    <w:rsid w:val="20E97AC1"/>
    <w:rsid w:val="2139763B"/>
    <w:rsid w:val="21843C8D"/>
    <w:rsid w:val="220B1CB9"/>
    <w:rsid w:val="2234120F"/>
    <w:rsid w:val="22433200"/>
    <w:rsid w:val="227C4964"/>
    <w:rsid w:val="22995516"/>
    <w:rsid w:val="22EE5862"/>
    <w:rsid w:val="232748D0"/>
    <w:rsid w:val="23566F63"/>
    <w:rsid w:val="24096635"/>
    <w:rsid w:val="243C084F"/>
    <w:rsid w:val="244F2331"/>
    <w:rsid w:val="244F40DF"/>
    <w:rsid w:val="245E2574"/>
    <w:rsid w:val="24967F5F"/>
    <w:rsid w:val="24BD373E"/>
    <w:rsid w:val="24E231A5"/>
    <w:rsid w:val="24EC5DD1"/>
    <w:rsid w:val="24F42ED8"/>
    <w:rsid w:val="254E25E8"/>
    <w:rsid w:val="256242E5"/>
    <w:rsid w:val="25861D82"/>
    <w:rsid w:val="25A26B5A"/>
    <w:rsid w:val="26355556"/>
    <w:rsid w:val="264834DB"/>
    <w:rsid w:val="264D0AF2"/>
    <w:rsid w:val="26722306"/>
    <w:rsid w:val="26BC17D3"/>
    <w:rsid w:val="26C37006"/>
    <w:rsid w:val="26E2748C"/>
    <w:rsid w:val="270311B0"/>
    <w:rsid w:val="271B0BF0"/>
    <w:rsid w:val="27335F39"/>
    <w:rsid w:val="27402404"/>
    <w:rsid w:val="276F253A"/>
    <w:rsid w:val="277D71B5"/>
    <w:rsid w:val="27D668C5"/>
    <w:rsid w:val="27DA63B5"/>
    <w:rsid w:val="28836A4D"/>
    <w:rsid w:val="28A83F0D"/>
    <w:rsid w:val="28C826B1"/>
    <w:rsid w:val="28E13773"/>
    <w:rsid w:val="28F60687"/>
    <w:rsid w:val="29253660"/>
    <w:rsid w:val="29BF3AB4"/>
    <w:rsid w:val="29C25353"/>
    <w:rsid w:val="29D357B2"/>
    <w:rsid w:val="29DA08EE"/>
    <w:rsid w:val="29E16B3A"/>
    <w:rsid w:val="2A05311F"/>
    <w:rsid w:val="2A1D4A96"/>
    <w:rsid w:val="2A64465C"/>
    <w:rsid w:val="2A816FBC"/>
    <w:rsid w:val="2ABC6246"/>
    <w:rsid w:val="2AC375D4"/>
    <w:rsid w:val="2B745C74"/>
    <w:rsid w:val="2B830B12"/>
    <w:rsid w:val="2B9D7E25"/>
    <w:rsid w:val="2BC41856"/>
    <w:rsid w:val="2BF832AE"/>
    <w:rsid w:val="2BFD08C4"/>
    <w:rsid w:val="2C2603E8"/>
    <w:rsid w:val="2C3562B0"/>
    <w:rsid w:val="2C6B3A80"/>
    <w:rsid w:val="2C730B86"/>
    <w:rsid w:val="2C862667"/>
    <w:rsid w:val="2CCA2D34"/>
    <w:rsid w:val="2D197980"/>
    <w:rsid w:val="2D2C76B3"/>
    <w:rsid w:val="2D6D1A79"/>
    <w:rsid w:val="2D8E211C"/>
    <w:rsid w:val="2D9E1C33"/>
    <w:rsid w:val="2D9E60D7"/>
    <w:rsid w:val="2DB404AA"/>
    <w:rsid w:val="2DD37B2E"/>
    <w:rsid w:val="2DD92C6B"/>
    <w:rsid w:val="2E586286"/>
    <w:rsid w:val="2E6B5FB9"/>
    <w:rsid w:val="2E725599"/>
    <w:rsid w:val="2E932FE8"/>
    <w:rsid w:val="2EA245EF"/>
    <w:rsid w:val="2ED33B5E"/>
    <w:rsid w:val="2F397E65"/>
    <w:rsid w:val="2F3B2B7F"/>
    <w:rsid w:val="2F6D61AD"/>
    <w:rsid w:val="2FC93A6E"/>
    <w:rsid w:val="30142680"/>
    <w:rsid w:val="30782C0F"/>
    <w:rsid w:val="308E5F8F"/>
    <w:rsid w:val="309C68FD"/>
    <w:rsid w:val="31573693"/>
    <w:rsid w:val="3159659D"/>
    <w:rsid w:val="316B2774"/>
    <w:rsid w:val="31807FCD"/>
    <w:rsid w:val="3186135C"/>
    <w:rsid w:val="31A83080"/>
    <w:rsid w:val="31CA749A"/>
    <w:rsid w:val="324234D5"/>
    <w:rsid w:val="32674CE9"/>
    <w:rsid w:val="32892EB1"/>
    <w:rsid w:val="329C2BEC"/>
    <w:rsid w:val="32D54AFE"/>
    <w:rsid w:val="33557238"/>
    <w:rsid w:val="338D077F"/>
    <w:rsid w:val="33A855B9"/>
    <w:rsid w:val="33B0446E"/>
    <w:rsid w:val="33F16F60"/>
    <w:rsid w:val="34125129"/>
    <w:rsid w:val="341744ED"/>
    <w:rsid w:val="346314E0"/>
    <w:rsid w:val="348A1163"/>
    <w:rsid w:val="348E47AF"/>
    <w:rsid w:val="34D128EE"/>
    <w:rsid w:val="34F565DC"/>
    <w:rsid w:val="35040F15"/>
    <w:rsid w:val="3569521C"/>
    <w:rsid w:val="35A40002"/>
    <w:rsid w:val="35A65B28"/>
    <w:rsid w:val="35A83529"/>
    <w:rsid w:val="35E30B2B"/>
    <w:rsid w:val="35E36D7D"/>
    <w:rsid w:val="35EE236D"/>
    <w:rsid w:val="36513CE6"/>
    <w:rsid w:val="36FD5C1C"/>
    <w:rsid w:val="375C6DE7"/>
    <w:rsid w:val="37922808"/>
    <w:rsid w:val="37E64902"/>
    <w:rsid w:val="37F16AE9"/>
    <w:rsid w:val="38213B8C"/>
    <w:rsid w:val="383438BF"/>
    <w:rsid w:val="383E64EC"/>
    <w:rsid w:val="38910D12"/>
    <w:rsid w:val="38A8605B"/>
    <w:rsid w:val="38C033A5"/>
    <w:rsid w:val="38C74734"/>
    <w:rsid w:val="38CF5396"/>
    <w:rsid w:val="38D96215"/>
    <w:rsid w:val="38F372D7"/>
    <w:rsid w:val="38F44DFD"/>
    <w:rsid w:val="38FE5C7B"/>
    <w:rsid w:val="391F631E"/>
    <w:rsid w:val="393D67A4"/>
    <w:rsid w:val="39861EF9"/>
    <w:rsid w:val="39A16D33"/>
    <w:rsid w:val="39AD1B7B"/>
    <w:rsid w:val="3A30455A"/>
    <w:rsid w:val="3A577DC1"/>
    <w:rsid w:val="3A655FB2"/>
    <w:rsid w:val="3AB605BC"/>
    <w:rsid w:val="3B3360B0"/>
    <w:rsid w:val="3B44206B"/>
    <w:rsid w:val="3B675D5A"/>
    <w:rsid w:val="3B7B1805"/>
    <w:rsid w:val="3BA64AD4"/>
    <w:rsid w:val="3BB15227"/>
    <w:rsid w:val="3C065573"/>
    <w:rsid w:val="3CB43221"/>
    <w:rsid w:val="3CCB2319"/>
    <w:rsid w:val="3CE358B4"/>
    <w:rsid w:val="3D0F48FB"/>
    <w:rsid w:val="3D404AB5"/>
    <w:rsid w:val="3D670293"/>
    <w:rsid w:val="3D712EC0"/>
    <w:rsid w:val="3D87623F"/>
    <w:rsid w:val="3DD11BB1"/>
    <w:rsid w:val="3DD1395F"/>
    <w:rsid w:val="3DDD67A7"/>
    <w:rsid w:val="3E077380"/>
    <w:rsid w:val="3E3363C7"/>
    <w:rsid w:val="3E43485C"/>
    <w:rsid w:val="3E86299B"/>
    <w:rsid w:val="3EC534C3"/>
    <w:rsid w:val="3EC62D97"/>
    <w:rsid w:val="3EF20030"/>
    <w:rsid w:val="3F1C6E5B"/>
    <w:rsid w:val="3F2B26E0"/>
    <w:rsid w:val="3F604F9A"/>
    <w:rsid w:val="3F966C0E"/>
    <w:rsid w:val="3F9B2476"/>
    <w:rsid w:val="3F9F1F66"/>
    <w:rsid w:val="3FB53538"/>
    <w:rsid w:val="3FBD23EC"/>
    <w:rsid w:val="3FD414E4"/>
    <w:rsid w:val="400B75FC"/>
    <w:rsid w:val="402951BB"/>
    <w:rsid w:val="403F72A5"/>
    <w:rsid w:val="405B09DE"/>
    <w:rsid w:val="40905D53"/>
    <w:rsid w:val="40C31C84"/>
    <w:rsid w:val="411C75E7"/>
    <w:rsid w:val="415B1EBD"/>
    <w:rsid w:val="417116E0"/>
    <w:rsid w:val="41735459"/>
    <w:rsid w:val="418238EE"/>
    <w:rsid w:val="41AA2E44"/>
    <w:rsid w:val="41C932CA"/>
    <w:rsid w:val="4202058A"/>
    <w:rsid w:val="422C1E36"/>
    <w:rsid w:val="42636414"/>
    <w:rsid w:val="426C3C56"/>
    <w:rsid w:val="428C42F8"/>
    <w:rsid w:val="42A6360C"/>
    <w:rsid w:val="42E61C5A"/>
    <w:rsid w:val="42E934F8"/>
    <w:rsid w:val="43FF1225"/>
    <w:rsid w:val="4404683C"/>
    <w:rsid w:val="442567B2"/>
    <w:rsid w:val="444A6219"/>
    <w:rsid w:val="445D419E"/>
    <w:rsid w:val="447C2876"/>
    <w:rsid w:val="448E25A9"/>
    <w:rsid w:val="44E346A3"/>
    <w:rsid w:val="44FF5255"/>
    <w:rsid w:val="454B049A"/>
    <w:rsid w:val="45AD2F03"/>
    <w:rsid w:val="45DD5596"/>
    <w:rsid w:val="45E306D3"/>
    <w:rsid w:val="45F3537D"/>
    <w:rsid w:val="45FB5A1D"/>
    <w:rsid w:val="46080139"/>
    <w:rsid w:val="46537607"/>
    <w:rsid w:val="467C4DAF"/>
    <w:rsid w:val="46BD3228"/>
    <w:rsid w:val="46C6427C"/>
    <w:rsid w:val="46D00C57"/>
    <w:rsid w:val="46E26BDC"/>
    <w:rsid w:val="471C3E9C"/>
    <w:rsid w:val="47743CD8"/>
    <w:rsid w:val="479E2B03"/>
    <w:rsid w:val="47A143A2"/>
    <w:rsid w:val="47BE6D02"/>
    <w:rsid w:val="47E32C0C"/>
    <w:rsid w:val="48343468"/>
    <w:rsid w:val="485338EE"/>
    <w:rsid w:val="488E4926"/>
    <w:rsid w:val="48912668"/>
    <w:rsid w:val="48BF71D5"/>
    <w:rsid w:val="48DD58AD"/>
    <w:rsid w:val="49090450"/>
    <w:rsid w:val="49385C0C"/>
    <w:rsid w:val="493F3E72"/>
    <w:rsid w:val="4977185E"/>
    <w:rsid w:val="49A5461D"/>
    <w:rsid w:val="49B91E77"/>
    <w:rsid w:val="4A0515D5"/>
    <w:rsid w:val="4A0C644A"/>
    <w:rsid w:val="4A1452FF"/>
    <w:rsid w:val="4A190B67"/>
    <w:rsid w:val="4A315EB1"/>
    <w:rsid w:val="4A5971B6"/>
    <w:rsid w:val="4A82670C"/>
    <w:rsid w:val="4A881849"/>
    <w:rsid w:val="4A8C758B"/>
    <w:rsid w:val="4AA04DE4"/>
    <w:rsid w:val="4ABA40F8"/>
    <w:rsid w:val="4AC24D5B"/>
    <w:rsid w:val="4ADA02F6"/>
    <w:rsid w:val="4AEC002A"/>
    <w:rsid w:val="4B221C9D"/>
    <w:rsid w:val="4B296B88"/>
    <w:rsid w:val="4B49722A"/>
    <w:rsid w:val="4B4C0AC8"/>
    <w:rsid w:val="4B4D6D1A"/>
    <w:rsid w:val="4B756271"/>
    <w:rsid w:val="4BA06C91"/>
    <w:rsid w:val="4BDC1E4C"/>
    <w:rsid w:val="4C0118B3"/>
    <w:rsid w:val="4C2832E3"/>
    <w:rsid w:val="4C435142"/>
    <w:rsid w:val="4C787DC7"/>
    <w:rsid w:val="4C804ECE"/>
    <w:rsid w:val="4CA1731A"/>
    <w:rsid w:val="4CA3296A"/>
    <w:rsid w:val="4CBB5F06"/>
    <w:rsid w:val="4CD15729"/>
    <w:rsid w:val="4CE865CF"/>
    <w:rsid w:val="4D292E6F"/>
    <w:rsid w:val="4D2A6BE7"/>
    <w:rsid w:val="4DDF3E76"/>
    <w:rsid w:val="4DE1374A"/>
    <w:rsid w:val="4E323FA5"/>
    <w:rsid w:val="4F2E0C11"/>
    <w:rsid w:val="4FCC3F86"/>
    <w:rsid w:val="4FD317B8"/>
    <w:rsid w:val="4FD35314"/>
    <w:rsid w:val="50306C0B"/>
    <w:rsid w:val="50395ABF"/>
    <w:rsid w:val="503E30D6"/>
    <w:rsid w:val="50D41344"/>
    <w:rsid w:val="50F639B0"/>
    <w:rsid w:val="51181B78"/>
    <w:rsid w:val="517B5C63"/>
    <w:rsid w:val="52374280"/>
    <w:rsid w:val="523A167B"/>
    <w:rsid w:val="52927709"/>
    <w:rsid w:val="52B72CCB"/>
    <w:rsid w:val="52CF6267"/>
    <w:rsid w:val="52E539BA"/>
    <w:rsid w:val="53151EFD"/>
    <w:rsid w:val="531C6FD2"/>
    <w:rsid w:val="532A7941"/>
    <w:rsid w:val="53933738"/>
    <w:rsid w:val="53F817ED"/>
    <w:rsid w:val="544113E6"/>
    <w:rsid w:val="54686973"/>
    <w:rsid w:val="54E81862"/>
    <w:rsid w:val="55913CA7"/>
    <w:rsid w:val="55AA4D69"/>
    <w:rsid w:val="562E599A"/>
    <w:rsid w:val="565069A9"/>
    <w:rsid w:val="56821842"/>
    <w:rsid w:val="57346FE0"/>
    <w:rsid w:val="573B036F"/>
    <w:rsid w:val="57452F9B"/>
    <w:rsid w:val="57770C7B"/>
    <w:rsid w:val="578D049F"/>
    <w:rsid w:val="57961633"/>
    <w:rsid w:val="57B343A9"/>
    <w:rsid w:val="5814471C"/>
    <w:rsid w:val="5818245E"/>
    <w:rsid w:val="581B1F4E"/>
    <w:rsid w:val="58331046"/>
    <w:rsid w:val="5854456A"/>
    <w:rsid w:val="586438F5"/>
    <w:rsid w:val="589F0489"/>
    <w:rsid w:val="58A27F7A"/>
    <w:rsid w:val="58D81BED"/>
    <w:rsid w:val="58E40592"/>
    <w:rsid w:val="58E42340"/>
    <w:rsid w:val="58ED5699"/>
    <w:rsid w:val="58F5279F"/>
    <w:rsid w:val="59034EBC"/>
    <w:rsid w:val="593037D7"/>
    <w:rsid w:val="59611BE3"/>
    <w:rsid w:val="59617E35"/>
    <w:rsid w:val="596A6CE9"/>
    <w:rsid w:val="597D4C6F"/>
    <w:rsid w:val="59886344"/>
    <w:rsid w:val="59943D66"/>
    <w:rsid w:val="59A33FA9"/>
    <w:rsid w:val="59CD7278"/>
    <w:rsid w:val="59EC3BA2"/>
    <w:rsid w:val="5A0E58C7"/>
    <w:rsid w:val="5A6C6A91"/>
    <w:rsid w:val="5ACE14FA"/>
    <w:rsid w:val="5AD703AE"/>
    <w:rsid w:val="5AD76600"/>
    <w:rsid w:val="5ADE798F"/>
    <w:rsid w:val="5B092532"/>
    <w:rsid w:val="5B24736C"/>
    <w:rsid w:val="5B9969E7"/>
    <w:rsid w:val="5BAF30D9"/>
    <w:rsid w:val="5BD26DC8"/>
    <w:rsid w:val="5BE2525D"/>
    <w:rsid w:val="5C2A09B2"/>
    <w:rsid w:val="5C514191"/>
    <w:rsid w:val="5C5E240A"/>
    <w:rsid w:val="5C7F0CFE"/>
    <w:rsid w:val="5CC11316"/>
    <w:rsid w:val="5D107BA8"/>
    <w:rsid w:val="5D4B0BE0"/>
    <w:rsid w:val="5D543F38"/>
    <w:rsid w:val="5D722610"/>
    <w:rsid w:val="5D7243BE"/>
    <w:rsid w:val="5DA240DB"/>
    <w:rsid w:val="5DAD189A"/>
    <w:rsid w:val="5DB524FD"/>
    <w:rsid w:val="5DCC7F73"/>
    <w:rsid w:val="5E451AD3"/>
    <w:rsid w:val="5EBF3633"/>
    <w:rsid w:val="5EC46E9C"/>
    <w:rsid w:val="5ED864A3"/>
    <w:rsid w:val="5F1020E1"/>
    <w:rsid w:val="5F245B8C"/>
    <w:rsid w:val="5F2913F5"/>
    <w:rsid w:val="5F2B0CC9"/>
    <w:rsid w:val="5F30008D"/>
    <w:rsid w:val="5F3062DF"/>
    <w:rsid w:val="5F4955F3"/>
    <w:rsid w:val="5F593A88"/>
    <w:rsid w:val="5F645F89"/>
    <w:rsid w:val="5F700DD2"/>
    <w:rsid w:val="5F8F74AA"/>
    <w:rsid w:val="5FC1162D"/>
    <w:rsid w:val="602816AC"/>
    <w:rsid w:val="6031230F"/>
    <w:rsid w:val="6037369D"/>
    <w:rsid w:val="60E76E71"/>
    <w:rsid w:val="60EC6236"/>
    <w:rsid w:val="61273712"/>
    <w:rsid w:val="614E5143"/>
    <w:rsid w:val="6162299C"/>
    <w:rsid w:val="616C280F"/>
    <w:rsid w:val="619A2136"/>
    <w:rsid w:val="61A905CB"/>
    <w:rsid w:val="61B72CE8"/>
    <w:rsid w:val="61C471B3"/>
    <w:rsid w:val="61CB22EF"/>
    <w:rsid w:val="61D513C0"/>
    <w:rsid w:val="61EB2991"/>
    <w:rsid w:val="61ED04B8"/>
    <w:rsid w:val="62111802"/>
    <w:rsid w:val="62465E1A"/>
    <w:rsid w:val="624F2F20"/>
    <w:rsid w:val="62614A02"/>
    <w:rsid w:val="626D784A"/>
    <w:rsid w:val="629D1EDE"/>
    <w:rsid w:val="62A41344"/>
    <w:rsid w:val="62BD432E"/>
    <w:rsid w:val="62C456BC"/>
    <w:rsid w:val="62CA6A4B"/>
    <w:rsid w:val="62FE04A2"/>
    <w:rsid w:val="63181564"/>
    <w:rsid w:val="631F28F3"/>
    <w:rsid w:val="632E2B36"/>
    <w:rsid w:val="635527B8"/>
    <w:rsid w:val="63780255"/>
    <w:rsid w:val="638C5AAE"/>
    <w:rsid w:val="63B82D47"/>
    <w:rsid w:val="63CE4319"/>
    <w:rsid w:val="642503DD"/>
    <w:rsid w:val="645B3DFE"/>
    <w:rsid w:val="652C579B"/>
    <w:rsid w:val="655D3BA6"/>
    <w:rsid w:val="658C7FE7"/>
    <w:rsid w:val="65B55790"/>
    <w:rsid w:val="66042274"/>
    <w:rsid w:val="66344907"/>
    <w:rsid w:val="667A42E4"/>
    <w:rsid w:val="672A7AB8"/>
    <w:rsid w:val="672C1A82"/>
    <w:rsid w:val="67E265E5"/>
    <w:rsid w:val="67EB7247"/>
    <w:rsid w:val="67EC2128"/>
    <w:rsid w:val="67EE6D37"/>
    <w:rsid w:val="683010FE"/>
    <w:rsid w:val="687731D1"/>
    <w:rsid w:val="68A1024E"/>
    <w:rsid w:val="68C301C4"/>
    <w:rsid w:val="68F760C0"/>
    <w:rsid w:val="690A5DF3"/>
    <w:rsid w:val="692844CB"/>
    <w:rsid w:val="693E76A1"/>
    <w:rsid w:val="69735746"/>
    <w:rsid w:val="6A1D3904"/>
    <w:rsid w:val="6A6E23B2"/>
    <w:rsid w:val="6A7554EE"/>
    <w:rsid w:val="6B105217"/>
    <w:rsid w:val="6B3233DF"/>
    <w:rsid w:val="6BD12BF8"/>
    <w:rsid w:val="6C0905E4"/>
    <w:rsid w:val="6C3D18D5"/>
    <w:rsid w:val="6C463C10"/>
    <w:rsid w:val="6C515AE7"/>
    <w:rsid w:val="6C6B6BA9"/>
    <w:rsid w:val="6C9C3206"/>
    <w:rsid w:val="6CB00A5F"/>
    <w:rsid w:val="6D365409"/>
    <w:rsid w:val="6D4F2026"/>
    <w:rsid w:val="6D5B0C2D"/>
    <w:rsid w:val="6D723F67"/>
    <w:rsid w:val="6DA305C4"/>
    <w:rsid w:val="6DC02F24"/>
    <w:rsid w:val="6DDD5884"/>
    <w:rsid w:val="6DE9247B"/>
    <w:rsid w:val="6DF029B0"/>
    <w:rsid w:val="6E4E6782"/>
    <w:rsid w:val="6E565636"/>
    <w:rsid w:val="6E751F61"/>
    <w:rsid w:val="6E91041D"/>
    <w:rsid w:val="6F394D3C"/>
    <w:rsid w:val="6F410095"/>
    <w:rsid w:val="6F4162E7"/>
    <w:rsid w:val="6F524050"/>
    <w:rsid w:val="6F946416"/>
    <w:rsid w:val="701F03D6"/>
    <w:rsid w:val="703379DD"/>
    <w:rsid w:val="705D2CAC"/>
    <w:rsid w:val="70BD374B"/>
    <w:rsid w:val="70EE7DA8"/>
    <w:rsid w:val="71096990"/>
    <w:rsid w:val="71123A97"/>
    <w:rsid w:val="715045BF"/>
    <w:rsid w:val="716D5171"/>
    <w:rsid w:val="71881FAB"/>
    <w:rsid w:val="718A7AD1"/>
    <w:rsid w:val="71A14E1B"/>
    <w:rsid w:val="71B52674"/>
    <w:rsid w:val="71D90A58"/>
    <w:rsid w:val="722515A8"/>
    <w:rsid w:val="7238577F"/>
    <w:rsid w:val="72556331"/>
    <w:rsid w:val="72C2329A"/>
    <w:rsid w:val="72E17BC5"/>
    <w:rsid w:val="72FC67AC"/>
    <w:rsid w:val="734A2299"/>
    <w:rsid w:val="736B3932"/>
    <w:rsid w:val="73E6120B"/>
    <w:rsid w:val="73F676A0"/>
    <w:rsid w:val="74583EB6"/>
    <w:rsid w:val="745D771F"/>
    <w:rsid w:val="749F1AE5"/>
    <w:rsid w:val="74AC5FB0"/>
    <w:rsid w:val="74D67876"/>
    <w:rsid w:val="74F31E31"/>
    <w:rsid w:val="75355FA6"/>
    <w:rsid w:val="757271FA"/>
    <w:rsid w:val="75752846"/>
    <w:rsid w:val="75A66EA3"/>
    <w:rsid w:val="75FC6AC3"/>
    <w:rsid w:val="762A1882"/>
    <w:rsid w:val="764741E2"/>
    <w:rsid w:val="76516E0F"/>
    <w:rsid w:val="76595CC4"/>
    <w:rsid w:val="76A038F3"/>
    <w:rsid w:val="770F370B"/>
    <w:rsid w:val="777A05E8"/>
    <w:rsid w:val="77A64F39"/>
    <w:rsid w:val="77D5581E"/>
    <w:rsid w:val="77E51F05"/>
    <w:rsid w:val="77FA34D6"/>
    <w:rsid w:val="78324A1E"/>
    <w:rsid w:val="7834054B"/>
    <w:rsid w:val="78511348"/>
    <w:rsid w:val="786F17CF"/>
    <w:rsid w:val="7872306D"/>
    <w:rsid w:val="78774B27"/>
    <w:rsid w:val="78A27DF6"/>
    <w:rsid w:val="78B13B95"/>
    <w:rsid w:val="78F30652"/>
    <w:rsid w:val="79050385"/>
    <w:rsid w:val="790E0FE8"/>
    <w:rsid w:val="79142376"/>
    <w:rsid w:val="792E168A"/>
    <w:rsid w:val="79336CA0"/>
    <w:rsid w:val="794B223C"/>
    <w:rsid w:val="794C7D62"/>
    <w:rsid w:val="79694470"/>
    <w:rsid w:val="79A11E5C"/>
    <w:rsid w:val="79B7167F"/>
    <w:rsid w:val="79C8563A"/>
    <w:rsid w:val="79DD67B7"/>
    <w:rsid w:val="7A811C8D"/>
    <w:rsid w:val="7A907766"/>
    <w:rsid w:val="7A995229"/>
    <w:rsid w:val="7A9C0875"/>
    <w:rsid w:val="7AD87AFF"/>
    <w:rsid w:val="7B9C6D7F"/>
    <w:rsid w:val="7BB06386"/>
    <w:rsid w:val="7BB87930"/>
    <w:rsid w:val="7BBF481B"/>
    <w:rsid w:val="7BEC1388"/>
    <w:rsid w:val="7C105077"/>
    <w:rsid w:val="7C127041"/>
    <w:rsid w:val="7C792C1C"/>
    <w:rsid w:val="7C7C095E"/>
    <w:rsid w:val="7CA16A7F"/>
    <w:rsid w:val="7CF14EA8"/>
    <w:rsid w:val="7D07647A"/>
    <w:rsid w:val="7D2A660C"/>
    <w:rsid w:val="7D7F24B4"/>
    <w:rsid w:val="7D847ACA"/>
    <w:rsid w:val="7E0B01EB"/>
    <w:rsid w:val="7E132BFC"/>
    <w:rsid w:val="7E745D91"/>
    <w:rsid w:val="7E7538B7"/>
    <w:rsid w:val="7E924469"/>
    <w:rsid w:val="7EA632B4"/>
    <w:rsid w:val="7EF40C80"/>
    <w:rsid w:val="7EF42A2E"/>
    <w:rsid w:val="7EFC7B34"/>
    <w:rsid w:val="7EFE38AC"/>
    <w:rsid w:val="7F160BF6"/>
    <w:rsid w:val="7F1E5CFC"/>
    <w:rsid w:val="7F201A75"/>
    <w:rsid w:val="7F6A0F42"/>
    <w:rsid w:val="7F6A2CF0"/>
    <w:rsid w:val="7F721BA4"/>
    <w:rsid w:val="7FD36AE7"/>
    <w:rsid w:val="7FDD7966"/>
    <w:rsid w:val="7FDF723A"/>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sz w:val="28"/>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unhideWhenUsed/>
    <w:qFormat/>
    <w:uiPriority w:val="99"/>
    <w:pPr>
      <w:ind w:firstLine="281" w:firstLineChars="100"/>
    </w:pPr>
    <w:rPr>
      <w:b/>
      <w:szCs w:val="28"/>
    </w:r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ody Text"/>
    <w:basedOn w:val="1"/>
    <w:semiHidden/>
    <w:qFormat/>
    <w:uiPriority w:val="0"/>
    <w:rPr>
      <w:rFonts w:eastAsia="仿宋" w:cs="仿宋"/>
      <w:sz w:val="31"/>
      <w:szCs w:val="31"/>
      <w:lang w:eastAsia="en-US"/>
    </w:rPr>
  </w:style>
  <w:style w:type="paragraph" w:styleId="5">
    <w:name w:val="footer"/>
    <w:basedOn w:val="1"/>
    <w:next w:val="2"/>
    <w:link w:val="14"/>
    <w:unhideWhenUsed/>
    <w:qFormat/>
    <w:uiPriority w:val="99"/>
    <w:pPr>
      <w:tabs>
        <w:tab w:val="center" w:pos="4153"/>
        <w:tab w:val="right" w:pos="8306"/>
      </w:tabs>
      <w:snapToGrid w:val="0"/>
      <w:jc w:val="left"/>
    </w:pPr>
    <w:rPr>
      <w:sz w:val="18"/>
      <w:szCs w:val="18"/>
    </w:rPr>
  </w:style>
  <w:style w:type="paragraph" w:styleId="6">
    <w:name w:val="header"/>
    <w:basedOn w:val="1"/>
    <w:next w:val="7"/>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index 9"/>
    <w:basedOn w:val="1"/>
    <w:next w:val="1"/>
    <w:qFormat/>
    <w:uiPriority w:val="0"/>
    <w:pPr>
      <w:ind w:left="1600" w:leftChars="1600"/>
    </w:pPr>
  </w:style>
  <w:style w:type="paragraph" w:styleId="8">
    <w:name w:val="Normal (Web)"/>
    <w:basedOn w:val="1"/>
    <w:qFormat/>
    <w:uiPriority w:val="0"/>
    <w:pPr>
      <w:spacing w:before="100" w:beforeAutospacing="1" w:after="100" w:afterAutospacing="1" w:line="420" w:lineRule="atLeast"/>
      <w:ind w:firstLine="420"/>
      <w:jc w:val="left"/>
    </w:pPr>
    <w:rPr>
      <w:sz w:val="24"/>
    </w:rPr>
  </w:style>
  <w:style w:type="paragraph" w:customStyle="1" w:styleId="11">
    <w:name w:val="BodyText1I"/>
    <w:basedOn w:val="1"/>
    <w:qFormat/>
    <w:uiPriority w:val="99"/>
    <w:pPr>
      <w:snapToGrid w:val="0"/>
      <w:spacing w:line="360" w:lineRule="auto"/>
      <w:ind w:firstLine="420" w:firstLineChars="100"/>
    </w:pPr>
    <w:rPr>
      <w:szCs w:val="20"/>
    </w:rPr>
  </w:style>
  <w:style w:type="paragraph" w:customStyle="1" w:styleId="12">
    <w:name w:val="列出段落1"/>
    <w:basedOn w:val="1"/>
    <w:qFormat/>
    <w:uiPriority w:val="34"/>
    <w:pPr>
      <w:ind w:firstLine="420" w:firstLineChars="200"/>
    </w:pPr>
  </w:style>
  <w:style w:type="paragraph" w:styleId="13">
    <w:name w:val="List Paragraph"/>
    <w:basedOn w:val="1"/>
    <w:qFormat/>
    <w:uiPriority w:val="34"/>
    <w:pPr>
      <w:ind w:firstLine="420" w:firstLineChars="200"/>
    </w:pPr>
    <w:rPr>
      <w:rFonts w:ascii="Calibri" w:hAnsi="Calibri"/>
      <w:szCs w:val="22"/>
    </w:rPr>
  </w:style>
  <w:style w:type="character" w:customStyle="1" w:styleId="14">
    <w:name w:val="页脚 Char"/>
    <w:basedOn w:val="10"/>
    <w:link w:val="5"/>
    <w:qFormat/>
    <w:uiPriority w:val="99"/>
    <w:rPr>
      <w:rFonts w:ascii="仿宋" w:hAnsi="仿宋" w:eastAsia="宋体" w:cs="Times New Roman"/>
      <w:sz w:val="18"/>
      <w:szCs w:val="18"/>
    </w:rPr>
  </w:style>
  <w:style w:type="character" w:customStyle="1" w:styleId="15">
    <w:name w:val="页眉 Char"/>
    <w:basedOn w:val="10"/>
    <w:link w:val="6"/>
    <w:uiPriority w:val="99"/>
    <w:rPr>
      <w:rFonts w:ascii="仿宋" w:hAnsi="仿宋" w:eastAsia="宋体" w:cs="Times New Roman"/>
      <w:sz w:val="18"/>
      <w:szCs w:val="24"/>
    </w:rPr>
  </w:style>
  <w:style w:type="character" w:customStyle="1" w:styleId="16">
    <w:name w:val="apple-converted-space"/>
    <w:basedOn w:val="10"/>
    <w:qFormat/>
    <w:uiPriority w:val="0"/>
  </w:style>
  <w:style w:type="paragraph" w:customStyle="1" w:styleId="17">
    <w:name w:val="BodyText1I2"/>
    <w:basedOn w:val="1"/>
    <w:qFormat/>
    <w:uiPriority w:val="0"/>
    <w:pPr>
      <w:ind w:firstLine="420" w:firstLineChars="200"/>
    </w:pPr>
    <w:rPr>
      <w:rFonts w:ascii="Calibri" w:hAnsi="Calibri" w:eastAsia="仿宋"/>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9B0B8-D2D0-40A7-8DFB-2BFED5FCC5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978</Words>
  <Characters>5577</Characters>
  <Lines>46</Lines>
  <Paragraphs>13</Paragraphs>
  <TotalTime>21</TotalTime>
  <ScaleCrop>false</ScaleCrop>
  <LinksUpToDate>false</LinksUpToDate>
  <CharactersWithSpaces>6542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Administrator</cp:lastModifiedBy>
  <cp:lastPrinted>2024-06-27T08:58:00Z</cp:lastPrinted>
  <dcterms:modified xsi:type="dcterms:W3CDTF">2026-04-28T01:53:23Z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6182D3A10D564617983F46DEE354AEAF</vt:lpwstr>
  </property>
</Properties>
</file>