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B8471">
      <w:pPr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161FABD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52854517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7E2EB55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岳阳市疾控中心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 w14:paraId="05767D5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 w14:paraId="5D08A989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44ECB15D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1FF9EAB8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7333D213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67176FE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7A798A42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3655013D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E88836B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4FA098D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65F85797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7B7CA97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584BE3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A093B27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AC4A3C4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693371D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岳阳市疾病预防控制中心</w:t>
      </w:r>
    </w:p>
    <w:p w14:paraId="3EE654F5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eastAsia" w:eastAsia="楷体_GB2312" w:cs="Times New Roman"/>
          <w:sz w:val="32"/>
          <w:szCs w:val="32"/>
          <w:highlight w:val="none"/>
          <w:lang w:val="en-US" w:eastAsia="zh-CN"/>
        </w:rPr>
        <w:t>2026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</w:t>
      </w:r>
      <w:r>
        <w:rPr>
          <w:rFonts w:hint="eastAsia" w:eastAsia="楷体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月</w:t>
      </w:r>
      <w:r>
        <w:rPr>
          <w:rFonts w:hint="eastAsia" w:eastAsia="楷体_GB2312" w:cs="Times New Roman"/>
          <w:sz w:val="32"/>
          <w:szCs w:val="32"/>
          <w:highlight w:val="none"/>
          <w:lang w:val="en-US" w:eastAsia="zh-CN"/>
        </w:rPr>
        <w:t>26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日</w:t>
      </w:r>
    </w:p>
    <w:p w14:paraId="3B671625">
      <w:pPr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7133718F">
      <w:pPr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岳阳市疾控中心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 w14:paraId="561B9AA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 w14:paraId="7BEA55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bookmarkStart w:id="1" w:name="_GoBack"/>
      <w:bookmarkEnd w:id="1"/>
    </w:p>
    <w:p w14:paraId="02476A3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单位基本情况</w:t>
      </w:r>
    </w:p>
    <w:p w14:paraId="7AEB4DEA">
      <w:pPr>
        <w:widowControl/>
        <w:ind w:firstLine="420" w:firstLineChars="200"/>
        <w:jc w:val="left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岳阳市疾控中心前身为市防疫站，2002年分为市疾控中心和卫生监督中心，2007年市职防所并入疾控中心，为公益一类事业单位。隶属岳阳市卫健委，业务上受湖南省疾病预防控制中心、湖南省结核病防治所、湖南省职业病防治院、湖南省血防所的指导。主要承担七大职责:全市疾病预防与控制;突发公共卫生事件和灾害疫情应急处置;疫情及健康相关因素信息管理;健康危害因素监测与干预;实验室检测检验与评价;健康教育与健康促进;疾病预防控制技术管理与应用研究指导。</w:t>
      </w:r>
    </w:p>
    <w:p w14:paraId="58ED9D1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绩效目标实施情况及成效</w:t>
      </w:r>
    </w:p>
    <w:p w14:paraId="3F2C54AC">
      <w:pPr>
        <w:widowControl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，岳阳市疾控中心紧紧围绕国家及省市卫生健康工作部署，以保障人民群众健康为核心，统筹推进疾病防控、公共卫生监督、检验检测、健康促进等重点工作，各科室协同发力、履职尽责，各项工作取得显著成效，为全市公共卫生安全筑牢坚实防线</w:t>
      </w:r>
      <w:r>
        <w:rPr>
          <w:rFonts w:hint="default" w:ascii="仿宋" w:hAnsi="仿宋" w:eastAsia="仿宋" w:cs="仿宋"/>
          <w:sz w:val="32"/>
          <w:szCs w:val="32"/>
        </w:rPr>
        <w:t>。</w:t>
      </w:r>
    </w:p>
    <w:p w14:paraId="5713BD0C"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bookmarkStart w:id="0" w:name="OLE_LINK6"/>
      <w:r>
        <w:rPr>
          <w:rFonts w:hint="eastAsia" w:ascii="楷体" w:hAnsi="楷体" w:eastAsia="楷体" w:cs="楷体"/>
          <w:b/>
          <w:bCs/>
          <w:sz w:val="32"/>
          <w:szCs w:val="32"/>
        </w:rPr>
        <w:t>(一)疾病预防与控制</w:t>
      </w:r>
    </w:p>
    <w:p w14:paraId="4612D098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1.慢病防控扎实推进。</w:t>
      </w:r>
      <w:r>
        <w:rPr>
          <w:rFonts w:hint="eastAsia" w:ascii="仿宋" w:hAnsi="仿宋" w:eastAsia="仿宋" w:cs="仿宋"/>
          <w:sz w:val="32"/>
          <w:szCs w:val="32"/>
        </w:rPr>
        <w:t>市本级制作发放心脑血管疾病预防、牙健康、减油减盐等主题宣传品，开展多场“三减三健”健康讲座。死因监测各项指标超额达标，全市累计报告居民死亡35508例，死亡率6.53%，报告及时率、审核率等关键指标均优于上级要求。各县市区完成心血管病高危人群筛查、心脑血管事件报告等多项项目，岳阳楼区顺利通过国家慢病示范区复审，华容县等四地参与“万步有约”健走大赛，华容县荣获全国百强相关奖项。</w:t>
      </w:r>
    </w:p>
    <w:p w14:paraId="1F240B7F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2.传染病防控成效突出。</w:t>
      </w:r>
      <w:r>
        <w:rPr>
          <w:rFonts w:hint="eastAsia" w:ascii="仿宋" w:hAnsi="仿宋" w:eastAsia="仿宋" w:cs="仿宋"/>
          <w:sz w:val="32"/>
          <w:szCs w:val="32"/>
        </w:rPr>
        <w:t>重点传染病监测全面覆盖，完成呼吸道、肠道、自然疫源性等15类传染病防控任务各项指标完成率100%。截至11月底，报告新冠病毒感染病例6170例、流行性感冒病例49207例、手足口病病例7127例，无重大聚集性疫情发生。登革热、布病等传染病规范处置，狂犬病监测全程接种率95.02%，刘祖勇同志获评省级狂犬病防控先进个人。成功举办2次卫生应急演练，11支应急小分队通过省级考核，参与国家、省级科研项目各1项。</w:t>
      </w:r>
    </w:p>
    <w:p w14:paraId="18510FA2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3.艾防、结防与血防工作稳步开展。</w:t>
      </w:r>
      <w:r>
        <w:rPr>
          <w:rFonts w:hint="eastAsia" w:ascii="仿宋" w:hAnsi="仿宋" w:eastAsia="仿宋" w:cs="仿宋"/>
          <w:sz w:val="32"/>
          <w:szCs w:val="32"/>
        </w:rPr>
        <w:t>艾防方面，全年完成134.74万人次抗体筛査，抗病毒治疗比例98.01%，病毒抑制率 98.03%，哨点监测覆盖4类人群，麻风病患病率控制在1/10万以下。结防方面，报告肺结核发病2198例，成功治疗率90.01%，持续优化市、县、乡三级防控协作机制。血防方面，超额完成査螺、灭螺、人群查病与化疗任务，全市84个流行乡镇均达血吸虫病消除标准，连续11年无急性病例报告，开展多场主题宣传活动，重点人群知晓率与正确行为率超95%。</w:t>
      </w:r>
    </w:p>
    <w:p w14:paraId="0F9B67C8"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(二)公共卫生监督执法</w:t>
      </w:r>
    </w:p>
    <w:p w14:paraId="1E3913DD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1.多领域监督全面覆盖。</w:t>
      </w:r>
      <w:r>
        <w:rPr>
          <w:rFonts w:hint="eastAsia" w:ascii="仿宋" w:hAnsi="仿宋" w:eastAsia="仿宋" w:cs="仿宋"/>
          <w:sz w:val="32"/>
          <w:szCs w:val="32"/>
        </w:rPr>
        <w:t>放射与职业卫生监督完成41家放射诊疗机构、18家职业病危害用人单位监督检查，下达行政处罚2起，罚款2.3万元;完成14家双随机抽查单位执法，立案处罚4起。学校与公共场所卫生监督保障中高考、旅发大会等重大活动，完成29家国家双随机抽查，检查学校90余家、公共场所70余家次，立案查处10起。生活饮用水与消毒产品监督开展“双随机“抽查与专项检査，涉水产品、消毒产品抽检合格率分别达92.3%、100%，1家餐具消毒单位获评省级A级信誉度单位。</w:t>
      </w:r>
    </w:p>
    <w:p w14:paraId="393F7399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2.执法规范与创新并举。</w:t>
      </w:r>
      <w:r>
        <w:rPr>
          <w:rFonts w:hint="eastAsia" w:ascii="仿宋" w:hAnsi="仿宋" w:eastAsia="仿宋" w:cs="仿宋"/>
          <w:sz w:val="32"/>
          <w:szCs w:val="32"/>
        </w:rPr>
        <w:t>推行涉企行政执法“扫码入企”全覆盖，实现检査全程留痕;创新“卫生监督+服务指导”模式，联合教育、市场监管等部门构建联动共治格局。法制与稽查室组织案卷评査10件案例获9优1良，国家双随机办案率全省前列，举办全市卫生监督执法业务骨干培训班。</w:t>
      </w:r>
    </w:p>
    <w:p w14:paraId="4318E608"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(三)检验检测能力提升</w:t>
      </w:r>
    </w:p>
    <w:p w14:paraId="296FCB25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1.各类监测检测高效完成。</w:t>
      </w:r>
      <w:r>
        <w:rPr>
          <w:rFonts w:hint="eastAsia" w:ascii="仿宋" w:hAnsi="仿宋" w:eastAsia="仿宋" w:cs="仿宋"/>
          <w:sz w:val="32"/>
          <w:szCs w:val="32"/>
        </w:rPr>
        <w:t>理化检验部完成国家、省级盲样考核37项(5次)，除1项未反馈外均合格;完成生活饮用水、食品安全、职业危害因素等监测任务，累计检测数据超1.7万个。微生物检验部获国家致病菌识别网监测先进集体，2名同志获评先进个人，开展多重核酸检测、宏基因组测序等新技术，完成流感、新冠、致病菌等各类检测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，室间质</w:t>
      </w:r>
      <w:r>
        <w:rPr>
          <w:rFonts w:hint="eastAsia" w:ascii="仿宋" w:hAnsi="仿宋" w:eastAsia="仿宋" w:cs="仿宋"/>
          <w:sz w:val="32"/>
          <w:szCs w:val="32"/>
        </w:rPr>
        <w:t>评14项次均获最优档。卫生监测部完成城乡饮用水100份样品采样、847份数据审核，开展鼠密度、伊蚊监测，保障重大活动饮用水安全与环境消杀。</w:t>
      </w:r>
    </w:p>
    <w:p w14:paraId="4020EA8E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质量管理持续强化。</w:t>
      </w:r>
      <w:r>
        <w:rPr>
          <w:rFonts w:hint="eastAsia" w:ascii="仿宋" w:hAnsi="仿宋" w:eastAsia="仿宋" w:cs="仿宋"/>
          <w:sz w:val="32"/>
          <w:szCs w:val="32"/>
        </w:rPr>
        <w:t>质管部承办省级实验室生物安全骨干培训班，26名学员全部结业;与高校合作打造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公共</w:t>
      </w:r>
      <w:r>
        <w:rPr>
          <w:rFonts w:hint="eastAsia" w:ascii="仿宋" w:hAnsi="仿宋" w:eastAsia="仿宋" w:cs="仿宋"/>
          <w:sz w:val="32"/>
          <w:szCs w:val="32"/>
        </w:rPr>
        <w:t>卫生实习基地，完成261项检验检测能力标准修订纠错131项;启动质量管理体系文件修订，规范样品流转与结果签发，完成3次省级专项迎检并整改到位。</w:t>
      </w:r>
    </w:p>
    <w:p w14:paraId="72BD5DD8"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四）健康宣传与营养监测亮点突出</w:t>
      </w:r>
    </w:p>
    <w:p w14:paraId="65CEBFA4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健康宣传多点发力。</w:t>
      </w:r>
      <w:r>
        <w:rPr>
          <w:rFonts w:hint="eastAsia" w:ascii="仿宋" w:hAnsi="仿宋" w:eastAsia="仿宋" w:cs="仿宋"/>
          <w:sz w:val="32"/>
          <w:szCs w:val="32"/>
        </w:rPr>
        <w:t>健康宣传教育部线上通过多平台发布科普内容，点击量超465万人次，公众号粉丝达8万余人；线下收集各类活动资料，依托固定宣传栏定期更新健康知识。组织参与中国健康科普大赛，8件作品获奖，科室获评省级“优秀委员单位”。</w:t>
      </w:r>
    </w:p>
    <w:p w14:paraId="346CF022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营养健康监测成效显著。</w:t>
      </w:r>
      <w:r>
        <w:rPr>
          <w:rFonts w:hint="eastAsia" w:ascii="仿宋" w:hAnsi="仿宋" w:eastAsia="仿宋" w:cs="仿宋"/>
          <w:sz w:val="32"/>
          <w:szCs w:val="32"/>
        </w:rPr>
        <w:t>营养健康监测部完成食品安全风险监测样品375份，监测计划执行进度100%；处置食源性疾病暴发事件16起，全市监测病例数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达</w:t>
      </w:r>
      <w:r>
        <w:rPr>
          <w:rFonts w:hint="eastAsia" w:ascii="仿宋" w:hAnsi="仿宋" w:eastAsia="仿宋" w:cs="仿宋"/>
          <w:sz w:val="32"/>
          <w:szCs w:val="32"/>
        </w:rPr>
        <w:t>4037例，标本质量准确率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达</w:t>
      </w:r>
      <w:r>
        <w:rPr>
          <w:rFonts w:hint="eastAsia" w:ascii="仿宋" w:hAnsi="仿宋" w:eastAsia="仿宋" w:cs="仿宋"/>
          <w:sz w:val="32"/>
          <w:szCs w:val="32"/>
        </w:rPr>
        <w:t>99.56%。学生常见病监测与干预工作获评省级“先进单位”。</w:t>
      </w:r>
    </w:p>
    <w:p w14:paraId="63DF012D"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)其他重点工作</w:t>
      </w:r>
    </w:p>
    <w:p w14:paraId="41614110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1.免疫规划有序推进。</w:t>
      </w:r>
      <w:r>
        <w:rPr>
          <w:rFonts w:hint="eastAsia" w:ascii="仿宋" w:hAnsi="仿宋" w:eastAsia="仿宋" w:cs="仿宋"/>
          <w:sz w:val="32"/>
          <w:szCs w:val="32"/>
        </w:rPr>
        <w:t>全年接种疫苗100.89万剂次，疫苗追溯码采集率99.99%，预防接种电子档案个人信息完整率99.97%，仅7岁组A群C群流脑多糖疫苗第2剂次接种率85.77%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未达接种率90%以上要求。</w:t>
      </w:r>
    </w:p>
    <w:p w14:paraId="6DB2A7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职业病防治稳步开展。</w:t>
      </w:r>
      <w:r>
        <w:rPr>
          <w:rFonts w:hint="eastAsia" w:ascii="仿宋" w:hAnsi="仿宋" w:eastAsia="仿宋" w:cs="仿宋"/>
          <w:sz w:val="32"/>
          <w:szCs w:val="32"/>
        </w:rPr>
        <w:t>完成3.25万份职业健康检查报告录入，尘肺病主动监测、随访完成率100%，工作场所职业病危害因素监测覆盖248家用人单位，完成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职业</w:t>
      </w:r>
      <w:r>
        <w:rPr>
          <w:rFonts w:hint="eastAsia" w:ascii="仿宋" w:hAnsi="仿宋" w:eastAsia="仿宋" w:cs="仿宋"/>
          <w:sz w:val="32"/>
          <w:szCs w:val="32"/>
        </w:rPr>
        <w:t>性危害因素监测与职业技能竞赛保障工作</w:t>
      </w:r>
      <w:bookmarkEnd w:id="0"/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14B58BF7">
      <w:pPr>
        <w:widowControl/>
        <w:numPr>
          <w:ilvl w:val="0"/>
          <w:numId w:val="0"/>
        </w:numPr>
        <w:ind w:left="627" w:leftChar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资金管理、使用情况</w:t>
      </w:r>
    </w:p>
    <w:p w14:paraId="3D2857E7">
      <w:pPr>
        <w:pStyle w:val="7"/>
        <w:numPr>
          <w:ilvl w:val="0"/>
          <w:numId w:val="2"/>
        </w:numPr>
        <w:spacing w:line="600" w:lineRule="exact"/>
        <w:ind w:firstLineChars="0"/>
        <w:rPr>
          <w:rFonts w:ascii="楷体" w:eastAsia="楷体"/>
          <w:b/>
          <w:bCs/>
          <w:sz w:val="32"/>
          <w:szCs w:val="32"/>
        </w:rPr>
      </w:pPr>
      <w:r>
        <w:rPr>
          <w:rFonts w:hint="eastAsia" w:ascii="楷体" w:eastAsia="楷体"/>
          <w:b/>
          <w:bCs/>
          <w:sz w:val="32"/>
          <w:szCs w:val="32"/>
        </w:rPr>
        <w:t>资金到位、使用情况</w:t>
      </w:r>
    </w:p>
    <w:p w14:paraId="475B8F30"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资金到位情况</w:t>
      </w:r>
      <w:r>
        <w:rPr>
          <w:rFonts w:hint="eastAsia" w:ascii="仿宋" w:hAnsi="仿宋" w:eastAsia="仿宋" w:cs="仿宋"/>
          <w:sz w:val="32"/>
          <w:szCs w:val="32"/>
        </w:rPr>
        <w:t>：202</w:t>
      </w:r>
      <w:r>
        <w:rPr>
          <w:rFonts w:hint="eastAsia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eastAsia="仿宋" w:cs="仿宋"/>
          <w:sz w:val="32"/>
          <w:szCs w:val="32"/>
          <w:lang w:val="en-US" w:eastAsia="zh-CN"/>
        </w:rPr>
        <w:t>年初预算下达数2121.98万元，其中基本支出1876.98万元，项目支出日常工作经费245万元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0E86193">
      <w:pPr>
        <w:ind w:firstLine="643" w:firstLineChars="200"/>
        <w:rPr>
          <w:rFonts w:hint="eastAsia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资金使用情况</w:t>
      </w:r>
      <w:r>
        <w:rPr>
          <w:rFonts w:hint="eastAsia" w:ascii="仿宋" w:hAnsi="仿宋" w:eastAsia="仿宋" w:cs="仿宋"/>
          <w:sz w:val="32"/>
          <w:szCs w:val="32"/>
        </w:rPr>
        <w:t>：截至202</w:t>
      </w:r>
      <w:r>
        <w:rPr>
          <w:rFonts w:hint="eastAsia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年底，</w:t>
      </w:r>
      <w:r>
        <w:rPr>
          <w:rFonts w:hint="eastAsia" w:eastAsia="仿宋" w:cs="仿宋"/>
          <w:sz w:val="32"/>
          <w:szCs w:val="32"/>
          <w:lang w:val="en-US" w:eastAsia="zh-CN"/>
        </w:rPr>
        <w:t>年初下达预算数已基本按进度使用。</w:t>
      </w:r>
    </w:p>
    <w:p w14:paraId="4DAA120C">
      <w:pPr>
        <w:rPr>
          <w:rFonts w:ascii="楷体" w:eastAsia="楷体"/>
          <w:b/>
          <w:bCs/>
          <w:sz w:val="32"/>
          <w:szCs w:val="32"/>
        </w:rPr>
      </w:pPr>
      <w:r>
        <w:rPr>
          <w:rFonts w:hint="eastAsia" w:ascii="仿宋" w:eastAsia="仿宋"/>
          <w:sz w:val="30"/>
          <w:szCs w:val="20"/>
        </w:rPr>
        <w:t xml:space="preserve"> </w:t>
      </w:r>
      <w:r>
        <w:rPr>
          <w:rFonts w:hint="eastAsia" w:ascii="楷体" w:eastAsia="楷体"/>
          <w:b/>
          <w:sz w:val="32"/>
          <w:szCs w:val="32"/>
        </w:rPr>
        <w:t xml:space="preserve">   </w:t>
      </w:r>
      <w:r>
        <w:rPr>
          <w:rFonts w:hint="eastAsia" w:ascii="楷体" w:eastAsia="楷体"/>
          <w:b/>
          <w:bCs/>
          <w:sz w:val="32"/>
          <w:szCs w:val="32"/>
        </w:rPr>
        <w:t>（二）资金管理情况</w:t>
      </w:r>
    </w:p>
    <w:p w14:paraId="39C70FFB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中心严格按照中央“八项规定”和省、市有关文件精神，坚持“依章办事、服务大局、围绕中心、突出重点、求真务实”的工作方针，加强预算管理和执行力度，进一步规范会计基础工作，实行财务与业务分工管理。根据国家财经政策，结合单位工作实际，制定完善了疾控中心《财务管理制度》、《项目经费管理办法》、《财务报账管理办法》、《差旅费管理实施办法》、《会议费、培训费管理实施办法》、《内部稽核管理办法》等十几项财务制度并得到较好落实，中心内部控制管理进一步规范。</w:t>
      </w:r>
    </w:p>
    <w:p w14:paraId="6A87E57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资金使用上,严格按照国家财经法规和财务管理制度规定，以及有关专项资金管理办法的规定开支，资金结算有完整的审批程序和手续，做到专款专用，项目物资专人保管，保证资金使用的合规性。资金使用无截留、挤占、挪用、虚列支出等情况。</w:t>
      </w:r>
    </w:p>
    <w:p w14:paraId="71E4B39C">
      <w:pPr>
        <w:widowControl/>
        <w:ind w:firstLine="640" w:firstLineChars="200"/>
        <w:jc w:val="left"/>
        <w:rPr>
          <w:rFonts w:asci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四、存在困难及建议</w:t>
      </w:r>
    </w:p>
    <w:p w14:paraId="671E0622">
      <w:pPr>
        <w:widowControl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kern w:val="0"/>
          <w:sz w:val="32"/>
          <w:szCs w:val="32"/>
        </w:rPr>
        <w:t>一是部分专项资金拨付不及时</w:t>
      </w:r>
      <w:r>
        <w:rPr>
          <w:rFonts w:hint="eastAsia" w:ascii="楷体" w:hAnsi="楷体" w:eastAsia="楷体"/>
          <w:kern w:val="0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部分项目资金下达时间与相关文件下达以及项目实施、经费使用的时间不同步。</w:t>
      </w:r>
    </w:p>
    <w:p w14:paraId="593AAC0D"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建议：及时拨付资金，确保项目的正常开展。</w:t>
      </w:r>
    </w:p>
    <w:p w14:paraId="7A71F177">
      <w:pPr>
        <w:widowControl/>
        <w:ind w:firstLine="643" w:firstLineChars="200"/>
        <w:jc w:val="lef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kern w:val="0"/>
          <w:sz w:val="32"/>
          <w:szCs w:val="32"/>
        </w:rPr>
        <w:t>二是</w:t>
      </w:r>
      <w:r>
        <w:rPr>
          <w:rFonts w:ascii="楷体" w:hAnsi="楷体" w:eastAsia="楷体"/>
          <w:b/>
          <w:kern w:val="0"/>
          <w:sz w:val="32"/>
          <w:szCs w:val="32"/>
        </w:rPr>
        <w:t>部分项目专项资金用途、开支标准不明确</w:t>
      </w:r>
      <w:r>
        <w:rPr>
          <w:rFonts w:hint="eastAsia" w:ascii="楷体" w:hAnsi="楷体" w:eastAsia="楷体"/>
          <w:kern w:val="0"/>
          <w:sz w:val="32"/>
          <w:szCs w:val="32"/>
        </w:rPr>
        <w:t>。</w:t>
      </w:r>
    </w:p>
    <w:p w14:paraId="0FF37428">
      <w:pPr>
        <w:pStyle w:val="6"/>
        <w:ind w:left="0" w:leftChars="0"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建议：在专项资金下达的工作任务和资金分配方案中，明确项目支出内容，完善细化标准。</w:t>
      </w:r>
    </w:p>
    <w:p w14:paraId="4948F79C">
      <w:pPr>
        <w:pStyle w:val="6"/>
        <w:ind w:left="0" w:leftChars="0" w:firstLine="0" w:firstLineChars="0"/>
        <w:rPr>
          <w:rFonts w:hint="eastAsia" w:ascii="仿宋" w:hAnsi="仿宋" w:eastAsia="仿宋"/>
          <w:sz w:val="32"/>
          <w:szCs w:val="32"/>
        </w:rPr>
      </w:pPr>
    </w:p>
    <w:p w14:paraId="67730AB1">
      <w:pPr>
        <w:pStyle w:val="6"/>
        <w:ind w:left="0" w:leftChars="0" w:firstLine="0" w:firstLineChars="0"/>
        <w:rPr>
          <w:rFonts w:hint="eastAsia" w:ascii="仿宋" w:hAnsi="仿宋" w:eastAsia="仿宋"/>
          <w:sz w:val="32"/>
          <w:szCs w:val="32"/>
        </w:rPr>
      </w:pPr>
    </w:p>
    <w:p w14:paraId="1E14D567">
      <w:pPr>
        <w:pStyle w:val="6"/>
        <w:ind w:left="0" w:leftChars="0" w:firstLine="0" w:firstLineChars="0"/>
        <w:rPr>
          <w:rFonts w:hint="eastAsia" w:ascii="仿宋" w:hAnsi="仿宋" w:eastAsia="仿宋"/>
          <w:sz w:val="32"/>
          <w:szCs w:val="32"/>
        </w:rPr>
      </w:pPr>
    </w:p>
    <w:p w14:paraId="0E8A5F43">
      <w:pPr>
        <w:pStyle w:val="6"/>
        <w:ind w:left="0" w:leftChars="0" w:firstLine="0" w:firstLineChars="0"/>
        <w:rPr>
          <w:rFonts w:hint="default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3783A"/>
    <w:multiLevelType w:val="multilevel"/>
    <w:tmpl w:val="32D3783A"/>
    <w:lvl w:ilvl="0" w:tentative="0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7B76F3A9"/>
    <w:multiLevelType w:val="singleLevel"/>
    <w:tmpl w:val="7B76F3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</w:docVars>
  <w:rsids>
    <w:rsidRoot w:val="7E91546D"/>
    <w:rsid w:val="014673B0"/>
    <w:rsid w:val="02D420F7"/>
    <w:rsid w:val="07397B77"/>
    <w:rsid w:val="0F615EBD"/>
    <w:rsid w:val="17A14CA4"/>
    <w:rsid w:val="19D9134D"/>
    <w:rsid w:val="21260264"/>
    <w:rsid w:val="26505A20"/>
    <w:rsid w:val="2F8729E0"/>
    <w:rsid w:val="34BA287F"/>
    <w:rsid w:val="3DEC4907"/>
    <w:rsid w:val="3F9B1F0C"/>
    <w:rsid w:val="419B5433"/>
    <w:rsid w:val="41E541FB"/>
    <w:rsid w:val="462B3F89"/>
    <w:rsid w:val="4CCE0F3D"/>
    <w:rsid w:val="4E395C3D"/>
    <w:rsid w:val="4F61477C"/>
    <w:rsid w:val="543A565B"/>
    <w:rsid w:val="54DD4DE0"/>
    <w:rsid w:val="5E704F8F"/>
    <w:rsid w:val="5EB6652D"/>
    <w:rsid w:val="63C51E4E"/>
    <w:rsid w:val="65D76BA2"/>
    <w:rsid w:val="6840454C"/>
    <w:rsid w:val="68D45F8A"/>
    <w:rsid w:val="70D07080"/>
    <w:rsid w:val="71D03EED"/>
    <w:rsid w:val="76B70EBF"/>
    <w:rsid w:val="78045895"/>
    <w:rsid w:val="79515ADE"/>
    <w:rsid w:val="7E91546D"/>
    <w:rsid w:val="7EF1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BodyText1I2"/>
    <w:basedOn w:val="1"/>
    <w:qFormat/>
    <w:uiPriority w:val="0"/>
    <w:pPr>
      <w:ind w:firstLine="420" w:firstLineChars="200"/>
    </w:pPr>
    <w:rPr>
      <w:rFonts w:ascii="Times New Roman" w:hAnsi="Times New Roman" w:eastAsia="仿宋" w:cs="Times New Roman"/>
      <w:kern w:val="0"/>
      <w:sz w:val="20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8">
    <w:name w:val="正文 A"/>
    <w:qFormat/>
    <w:uiPriority w:val="2"/>
    <w:pPr>
      <w:widowControl w:val="0"/>
      <w:suppressAutoHyphens w:val="0"/>
      <w:bidi w:val="0"/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2683</Words>
  <Characters>2869</Characters>
  <Lines>0</Lines>
  <Paragraphs>0</Paragraphs>
  <TotalTime>10</TotalTime>
  <ScaleCrop>false</ScaleCrop>
  <LinksUpToDate>false</LinksUpToDate>
  <CharactersWithSpaces>2876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2025-06-19T08:06:00Z</dcterms:created>
  <dc:creator>刘洋</dc:creator>
  <cp:lastModifiedBy>刘洋</cp:lastModifiedBy>
  <cp:lastPrinted>2025-06-26T06:57:00Z</cp:lastPrinted>
  <dcterms:modified xsi:type="dcterms:W3CDTF">2026-06-30T01:57:21Z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72B9BAF06690474C9C12782DA7A382C7_13</vt:lpwstr>
  </property>
  <property fmtid="{D5CDD505-2E9C-101B-9397-08002B2CF9AE}" pid="4" name="KSOTemplateDocerSaveRecord">
    <vt:lpwstr>eyJoZGlkIjoiZDgxMDAwNDQyMjYxNGJmMTMzNmJmMGYxYzM5Y2YwMGYiLCJ1c2VySWQiOiIxNDkyNDEzNDQyIn0=</vt:lpwstr>
  </property>
</Properties>
</file>